
<file path=[Content_Types].xml><?xml version="1.0" encoding="utf-8"?>
<Types xmlns="http://schemas.openxmlformats.org/package/2006/content-types">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523613" w14:textId="77777777" w:rsidR="002E6661" w:rsidRPr="00D56578" w:rsidRDefault="002E6661" w:rsidP="002E6661">
      <w:pPr>
        <w:pStyle w:val="Heading2"/>
        <w:shd w:val="clear" w:color="auto" w:fill="0070C0"/>
        <w:rPr>
          <w:rFonts w:eastAsia="Calibri"/>
          <w:color w:val="FFFFFF" w:themeColor="background1"/>
          <w:sz w:val="24"/>
          <w:szCs w:val="24"/>
        </w:rPr>
      </w:pPr>
      <w:bookmarkStart w:id="0" w:name="_Toc158013438"/>
      <w:r>
        <w:rPr>
          <w:color w:val="FFFFFF" w:themeColor="background1"/>
          <w:sz w:val="24"/>
          <w:szCs w:val="24"/>
        </w:rPr>
        <w:t xml:space="preserve">2023 </w:t>
      </w:r>
      <w:r w:rsidRPr="00C015E9">
        <w:rPr>
          <w:color w:val="FFFFFF" w:themeColor="background1"/>
          <w:sz w:val="24"/>
          <w:szCs w:val="24"/>
        </w:rPr>
        <w:t>Performance of Traditional and Non-Traditional Exports</w:t>
      </w:r>
      <w:bookmarkEnd w:id="0"/>
    </w:p>
    <w:p w14:paraId="50F1376A" w14:textId="77777777" w:rsidR="002E6661" w:rsidRPr="00C015E9" w:rsidRDefault="002E6661" w:rsidP="002E6661">
      <w:pPr>
        <w:spacing w:before="240"/>
        <w:jc w:val="both"/>
        <w:rPr>
          <w:rFonts w:ascii="Times New Roman" w:hAnsi="Times New Roman" w:cs="Times New Roman"/>
          <w:sz w:val="24"/>
          <w:szCs w:val="24"/>
        </w:rPr>
      </w:pPr>
      <w:r w:rsidRPr="008152B7">
        <w:rPr>
          <w:rFonts w:ascii="Times New Roman" w:hAnsi="Times New Roman" w:cs="Times New Roman"/>
          <w:sz w:val="24"/>
          <w:szCs w:val="24"/>
        </w:rPr>
        <w:t xml:space="preserve">Zambia’s Total Export earnings in 2023 were valued at USD 10.42 billion compared to USD 11.65 billion that was recorded in 2022, representing a decrease of 10.54 percent. </w:t>
      </w:r>
      <w:r>
        <w:rPr>
          <w:rFonts w:ascii="Times New Roman" w:hAnsi="Times New Roman" w:cs="Times New Roman"/>
          <w:sz w:val="24"/>
          <w:szCs w:val="24"/>
        </w:rPr>
        <w:t xml:space="preserve">The value of Traditional Exports (TEs) decreased to USD 6.19 billion from USD 8.13 billion in 2022, representing a decrease of 23.88 percent. </w:t>
      </w:r>
      <w:r w:rsidRPr="008152B7">
        <w:rPr>
          <w:rFonts w:ascii="Times New Roman" w:hAnsi="Times New Roman" w:cs="Times New Roman"/>
          <w:sz w:val="24"/>
          <w:szCs w:val="24"/>
        </w:rPr>
        <w:t xml:space="preserve">The value of Non-Traditional Exports (NTEs) increased to USD 4.23 billion in 2023 from USD 3.52 billion in 2022 representing an increase of 20.28 percent. The share of NTEs to total export increased to 40.61 percent in 2023 from 30.21 percent in 2022. </w:t>
      </w:r>
      <w:r w:rsidRPr="00501E63">
        <w:rPr>
          <w:rFonts w:ascii="Times New Roman" w:hAnsi="Times New Roman" w:cs="Times New Roman"/>
          <w:sz w:val="24"/>
          <w:szCs w:val="24"/>
        </w:rPr>
        <w:t>The increase in NTEs was attributed to the</w:t>
      </w:r>
      <w:r>
        <w:rPr>
          <w:rFonts w:ascii="Times New Roman" w:hAnsi="Times New Roman" w:cs="Times New Roman"/>
          <w:sz w:val="24"/>
          <w:szCs w:val="24"/>
        </w:rPr>
        <w:t xml:space="preserve"> </w:t>
      </w:r>
      <w:r w:rsidRPr="00501E63">
        <w:rPr>
          <w:rFonts w:ascii="Times New Roman" w:hAnsi="Times New Roman" w:cs="Times New Roman"/>
          <w:sz w:val="24"/>
          <w:szCs w:val="24"/>
        </w:rPr>
        <w:t xml:space="preserve">high </w:t>
      </w:r>
      <w:r>
        <w:rPr>
          <w:rFonts w:ascii="Times New Roman" w:hAnsi="Times New Roman" w:cs="Times New Roman"/>
          <w:sz w:val="24"/>
          <w:szCs w:val="24"/>
        </w:rPr>
        <w:t xml:space="preserve">levels of </w:t>
      </w:r>
      <w:r w:rsidRPr="00501E63">
        <w:rPr>
          <w:rFonts w:ascii="Times New Roman" w:hAnsi="Times New Roman" w:cs="Times New Roman"/>
          <w:sz w:val="24"/>
          <w:szCs w:val="24"/>
        </w:rPr>
        <w:t>trade with the COMESA/SADC trading bloc.</w:t>
      </w:r>
      <w:r w:rsidRPr="00C015E9">
        <w:rPr>
          <w:rFonts w:ascii="Times New Roman" w:hAnsi="Times New Roman" w:cs="Times New Roman"/>
          <w:sz w:val="24"/>
          <w:szCs w:val="24"/>
        </w:rPr>
        <w:t xml:space="preserve"> </w:t>
      </w:r>
      <w:r>
        <w:rPr>
          <w:rFonts w:ascii="Times New Roman" w:hAnsi="Times New Roman" w:cs="Times New Roman"/>
          <w:sz w:val="24"/>
          <w:szCs w:val="24"/>
        </w:rPr>
        <w:t xml:space="preserve">Refer to Table 7. </w:t>
      </w:r>
    </w:p>
    <w:p w14:paraId="50E7C668" w14:textId="77777777" w:rsidR="002E6661" w:rsidRPr="00C015E9" w:rsidRDefault="002E6661" w:rsidP="002E6661">
      <w:pPr>
        <w:pStyle w:val="Caption"/>
        <w:spacing w:after="0"/>
      </w:pPr>
      <w:bookmarkStart w:id="1" w:name="_Toc157772295"/>
      <w:r w:rsidRPr="00C015E9">
        <w:t xml:space="preserve">Table </w:t>
      </w:r>
      <w:r w:rsidRPr="00C015E9">
        <w:fldChar w:fldCharType="begin"/>
      </w:r>
      <w:r w:rsidRPr="00C015E9">
        <w:instrText xml:space="preserve"> SEQ Table \* ARABIC </w:instrText>
      </w:r>
      <w:r w:rsidRPr="00C015E9">
        <w:fldChar w:fldCharType="separate"/>
      </w:r>
      <w:r>
        <w:rPr>
          <w:noProof/>
        </w:rPr>
        <w:t>7</w:t>
      </w:r>
      <w:r w:rsidRPr="00C015E9">
        <w:fldChar w:fldCharType="end"/>
      </w:r>
      <w:r w:rsidRPr="00C015E9">
        <w:t>: Analysis of Exports, 201</w:t>
      </w:r>
      <w:r>
        <w:t xml:space="preserve">9 - </w:t>
      </w:r>
      <w:r w:rsidRPr="00C015E9">
        <w:t>202</w:t>
      </w:r>
      <w:r>
        <w:t>3</w:t>
      </w:r>
      <w:bookmarkEnd w:id="1"/>
    </w:p>
    <w:tbl>
      <w:tblPr>
        <w:tblStyle w:val="GridTable4-Accent51"/>
        <w:tblW w:w="9805" w:type="dxa"/>
        <w:tblLook w:val="06A0" w:firstRow="1" w:lastRow="0" w:firstColumn="1" w:lastColumn="0" w:noHBand="1" w:noVBand="1"/>
      </w:tblPr>
      <w:tblGrid>
        <w:gridCol w:w="3300"/>
        <w:gridCol w:w="1195"/>
        <w:gridCol w:w="1080"/>
        <w:gridCol w:w="1350"/>
        <w:gridCol w:w="1260"/>
        <w:gridCol w:w="1620"/>
      </w:tblGrid>
      <w:tr w:rsidR="002E6661" w:rsidRPr="00E37C33" w14:paraId="5B557466" w14:textId="77777777" w:rsidTr="00206D8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00" w:type="dxa"/>
            <w:noWrap/>
            <w:hideMark/>
          </w:tcPr>
          <w:p w14:paraId="66B36902" w14:textId="77777777" w:rsidR="002E6661" w:rsidRPr="00E37C33" w:rsidRDefault="002E6661" w:rsidP="00206D84">
            <w:pPr>
              <w:rPr>
                <w:rFonts w:ascii="Times New Roman" w:hAnsi="Times New Roman" w:cs="Times New Roman"/>
              </w:rPr>
            </w:pPr>
          </w:p>
        </w:tc>
        <w:tc>
          <w:tcPr>
            <w:tcW w:w="1195" w:type="dxa"/>
            <w:noWrap/>
            <w:hideMark/>
          </w:tcPr>
          <w:p w14:paraId="0BD05AC8" w14:textId="77777777" w:rsidR="002E6661" w:rsidRPr="00E37C33" w:rsidRDefault="002E6661" w:rsidP="00206D8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E37C33">
              <w:rPr>
                <w:rFonts w:ascii="Times New Roman" w:hAnsi="Times New Roman" w:cs="Times New Roman"/>
              </w:rPr>
              <w:t>2019</w:t>
            </w:r>
          </w:p>
        </w:tc>
        <w:tc>
          <w:tcPr>
            <w:tcW w:w="1080" w:type="dxa"/>
            <w:noWrap/>
            <w:hideMark/>
          </w:tcPr>
          <w:p w14:paraId="53375118" w14:textId="77777777" w:rsidR="002E6661" w:rsidRPr="00E37C33" w:rsidRDefault="002E6661" w:rsidP="00206D8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E37C33">
              <w:rPr>
                <w:rFonts w:ascii="Times New Roman" w:hAnsi="Times New Roman" w:cs="Times New Roman"/>
              </w:rPr>
              <w:t>2020</w:t>
            </w:r>
          </w:p>
        </w:tc>
        <w:tc>
          <w:tcPr>
            <w:tcW w:w="1350" w:type="dxa"/>
            <w:noWrap/>
            <w:hideMark/>
          </w:tcPr>
          <w:p w14:paraId="0C2EE688" w14:textId="77777777" w:rsidR="002E6661" w:rsidRPr="00E37C33" w:rsidRDefault="002E6661" w:rsidP="00206D8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E37C33">
              <w:rPr>
                <w:rFonts w:ascii="Times New Roman" w:hAnsi="Times New Roman" w:cs="Times New Roman"/>
              </w:rPr>
              <w:t>2021</w:t>
            </w:r>
          </w:p>
        </w:tc>
        <w:tc>
          <w:tcPr>
            <w:tcW w:w="1260" w:type="dxa"/>
            <w:noWrap/>
            <w:hideMark/>
          </w:tcPr>
          <w:p w14:paraId="7E4E9697" w14:textId="77777777" w:rsidR="002E6661" w:rsidRPr="00E37C33" w:rsidRDefault="002E6661" w:rsidP="00206D8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E37C33">
              <w:rPr>
                <w:rFonts w:ascii="Times New Roman" w:hAnsi="Times New Roman" w:cs="Times New Roman"/>
              </w:rPr>
              <w:t>2022</w:t>
            </w:r>
          </w:p>
        </w:tc>
        <w:tc>
          <w:tcPr>
            <w:tcW w:w="1620" w:type="dxa"/>
            <w:noWrap/>
            <w:hideMark/>
          </w:tcPr>
          <w:p w14:paraId="27F41EFC" w14:textId="77777777" w:rsidR="002E6661" w:rsidRPr="00E37C33" w:rsidRDefault="002E6661" w:rsidP="00206D8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E37C33">
              <w:rPr>
                <w:rFonts w:ascii="Times New Roman" w:hAnsi="Times New Roman" w:cs="Times New Roman"/>
              </w:rPr>
              <w:t>2023</w:t>
            </w:r>
          </w:p>
        </w:tc>
      </w:tr>
      <w:tr w:rsidR="002E6661" w:rsidRPr="00E37C33" w14:paraId="2DAD907B" w14:textId="77777777" w:rsidTr="00206D84">
        <w:trPr>
          <w:trHeight w:val="300"/>
        </w:trPr>
        <w:tc>
          <w:tcPr>
            <w:cnfStyle w:val="001000000000" w:firstRow="0" w:lastRow="0" w:firstColumn="1" w:lastColumn="0" w:oddVBand="0" w:evenVBand="0" w:oddHBand="0" w:evenHBand="0" w:firstRowFirstColumn="0" w:firstRowLastColumn="0" w:lastRowFirstColumn="0" w:lastRowLastColumn="0"/>
            <w:tcW w:w="3300" w:type="dxa"/>
            <w:noWrap/>
            <w:hideMark/>
          </w:tcPr>
          <w:p w14:paraId="785F5880" w14:textId="77777777" w:rsidR="002E6661" w:rsidRPr="0077452B" w:rsidRDefault="002E6661" w:rsidP="00206D84">
            <w:pPr>
              <w:rPr>
                <w:rFonts w:ascii="Times New Roman" w:hAnsi="Times New Roman" w:cs="Times New Roman"/>
                <w:b w:val="0"/>
              </w:rPr>
            </w:pPr>
            <w:r w:rsidRPr="0077452B">
              <w:rPr>
                <w:rFonts w:ascii="Times New Roman" w:hAnsi="Times New Roman" w:cs="Times New Roman"/>
                <w:b w:val="0"/>
              </w:rPr>
              <w:t>Total Exports (USD, million)</w:t>
            </w:r>
          </w:p>
        </w:tc>
        <w:tc>
          <w:tcPr>
            <w:tcW w:w="1195" w:type="dxa"/>
            <w:noWrap/>
            <w:hideMark/>
          </w:tcPr>
          <w:p w14:paraId="7CD31278" w14:textId="77777777" w:rsidR="002E6661" w:rsidRPr="00E37C33"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37C33">
              <w:rPr>
                <w:rFonts w:ascii="Times New Roman" w:hAnsi="Times New Roman" w:cs="Times New Roman"/>
              </w:rPr>
              <w:t>8,944.14</w:t>
            </w:r>
          </w:p>
        </w:tc>
        <w:tc>
          <w:tcPr>
            <w:tcW w:w="1080" w:type="dxa"/>
            <w:noWrap/>
            <w:hideMark/>
          </w:tcPr>
          <w:p w14:paraId="48787C0E" w14:textId="77777777" w:rsidR="002E6661" w:rsidRPr="00E37C33"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37C33">
              <w:rPr>
                <w:rFonts w:ascii="Times New Roman" w:hAnsi="Times New Roman" w:cs="Times New Roman"/>
              </w:rPr>
              <w:t>7,816.57</w:t>
            </w:r>
          </w:p>
        </w:tc>
        <w:tc>
          <w:tcPr>
            <w:tcW w:w="1350" w:type="dxa"/>
            <w:noWrap/>
            <w:hideMark/>
          </w:tcPr>
          <w:p w14:paraId="513C05AB" w14:textId="77777777" w:rsidR="002E6661" w:rsidRPr="00E37C33"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37C33">
              <w:rPr>
                <w:rFonts w:ascii="Times New Roman" w:hAnsi="Times New Roman" w:cs="Times New Roman"/>
              </w:rPr>
              <w:t>11,084.86</w:t>
            </w:r>
          </w:p>
        </w:tc>
        <w:tc>
          <w:tcPr>
            <w:tcW w:w="1260" w:type="dxa"/>
            <w:noWrap/>
            <w:hideMark/>
          </w:tcPr>
          <w:p w14:paraId="06B25022" w14:textId="77777777" w:rsidR="002E6661" w:rsidRPr="00E37C33"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37C33">
              <w:rPr>
                <w:rFonts w:ascii="Times New Roman" w:hAnsi="Times New Roman" w:cs="Times New Roman"/>
              </w:rPr>
              <w:t>11,646.68</w:t>
            </w:r>
          </w:p>
        </w:tc>
        <w:tc>
          <w:tcPr>
            <w:tcW w:w="1620" w:type="dxa"/>
            <w:noWrap/>
            <w:hideMark/>
          </w:tcPr>
          <w:p w14:paraId="01B8E81F" w14:textId="77777777" w:rsidR="002E6661" w:rsidRPr="00E37C33"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37C33">
              <w:rPr>
                <w:rFonts w:ascii="Times New Roman" w:hAnsi="Times New Roman" w:cs="Times New Roman"/>
              </w:rPr>
              <w:t>10,418.82</w:t>
            </w:r>
          </w:p>
        </w:tc>
      </w:tr>
      <w:tr w:rsidR="002E6661" w:rsidRPr="00E37C33" w14:paraId="66CF0306" w14:textId="77777777" w:rsidTr="00206D84">
        <w:trPr>
          <w:trHeight w:val="300"/>
        </w:trPr>
        <w:tc>
          <w:tcPr>
            <w:cnfStyle w:val="001000000000" w:firstRow="0" w:lastRow="0" w:firstColumn="1" w:lastColumn="0" w:oddVBand="0" w:evenVBand="0" w:oddHBand="0" w:evenHBand="0" w:firstRowFirstColumn="0" w:firstRowLastColumn="0" w:lastRowFirstColumn="0" w:lastRowLastColumn="0"/>
            <w:tcW w:w="3300" w:type="dxa"/>
            <w:noWrap/>
            <w:hideMark/>
          </w:tcPr>
          <w:p w14:paraId="768C8065" w14:textId="77777777" w:rsidR="002E6661" w:rsidRPr="0077452B" w:rsidRDefault="002E6661" w:rsidP="00206D84">
            <w:pPr>
              <w:rPr>
                <w:rFonts w:ascii="Times New Roman" w:hAnsi="Times New Roman" w:cs="Times New Roman"/>
                <w:b w:val="0"/>
              </w:rPr>
            </w:pPr>
            <w:r w:rsidRPr="0077452B">
              <w:rPr>
                <w:rFonts w:ascii="Times New Roman" w:hAnsi="Times New Roman" w:cs="Times New Roman"/>
                <w:b w:val="0"/>
              </w:rPr>
              <w:t>Total Exports Growth (Percent)</w:t>
            </w:r>
          </w:p>
        </w:tc>
        <w:tc>
          <w:tcPr>
            <w:tcW w:w="1195" w:type="dxa"/>
            <w:noWrap/>
            <w:hideMark/>
          </w:tcPr>
          <w:p w14:paraId="07269F00" w14:textId="77777777" w:rsidR="002E6661" w:rsidRPr="00E37C33"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37C33">
              <w:rPr>
                <w:rFonts w:ascii="Times New Roman" w:hAnsi="Times New Roman" w:cs="Times New Roman"/>
              </w:rPr>
              <w:t>(1.36)</w:t>
            </w:r>
          </w:p>
        </w:tc>
        <w:tc>
          <w:tcPr>
            <w:tcW w:w="1080" w:type="dxa"/>
            <w:noWrap/>
            <w:hideMark/>
          </w:tcPr>
          <w:p w14:paraId="6FAE83A9" w14:textId="77777777" w:rsidR="002E6661" w:rsidRPr="00E37C33"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37C33">
              <w:rPr>
                <w:rFonts w:ascii="Times New Roman" w:hAnsi="Times New Roman" w:cs="Times New Roman"/>
              </w:rPr>
              <w:t>(12.61)</w:t>
            </w:r>
          </w:p>
        </w:tc>
        <w:tc>
          <w:tcPr>
            <w:tcW w:w="1350" w:type="dxa"/>
            <w:noWrap/>
            <w:hideMark/>
          </w:tcPr>
          <w:p w14:paraId="14FDE13C" w14:textId="77777777" w:rsidR="002E6661" w:rsidRPr="00E37C33"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37C33">
              <w:rPr>
                <w:rFonts w:ascii="Times New Roman" w:hAnsi="Times New Roman" w:cs="Times New Roman"/>
              </w:rPr>
              <w:t>41.81</w:t>
            </w:r>
          </w:p>
        </w:tc>
        <w:tc>
          <w:tcPr>
            <w:tcW w:w="1260" w:type="dxa"/>
            <w:noWrap/>
            <w:hideMark/>
          </w:tcPr>
          <w:p w14:paraId="6AB67191" w14:textId="77777777" w:rsidR="002E6661" w:rsidRPr="00E37C33"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37C33">
              <w:rPr>
                <w:rFonts w:ascii="Times New Roman" w:hAnsi="Times New Roman" w:cs="Times New Roman"/>
              </w:rPr>
              <w:t>5.07</w:t>
            </w:r>
          </w:p>
        </w:tc>
        <w:tc>
          <w:tcPr>
            <w:tcW w:w="1620" w:type="dxa"/>
            <w:noWrap/>
            <w:hideMark/>
          </w:tcPr>
          <w:p w14:paraId="742FBF69" w14:textId="77777777" w:rsidR="002E6661" w:rsidRPr="00E37C33"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37C33">
              <w:rPr>
                <w:rFonts w:ascii="Times New Roman" w:hAnsi="Times New Roman" w:cs="Times New Roman"/>
              </w:rPr>
              <w:t>(10.54)</w:t>
            </w:r>
          </w:p>
        </w:tc>
      </w:tr>
      <w:tr w:rsidR="002E6661" w:rsidRPr="00E37C33" w14:paraId="4709A1EE" w14:textId="77777777" w:rsidTr="00206D84">
        <w:trPr>
          <w:trHeight w:val="300"/>
        </w:trPr>
        <w:tc>
          <w:tcPr>
            <w:cnfStyle w:val="001000000000" w:firstRow="0" w:lastRow="0" w:firstColumn="1" w:lastColumn="0" w:oddVBand="0" w:evenVBand="0" w:oddHBand="0" w:evenHBand="0" w:firstRowFirstColumn="0" w:firstRowLastColumn="0" w:lastRowFirstColumn="0" w:lastRowLastColumn="0"/>
            <w:tcW w:w="3300" w:type="dxa"/>
            <w:noWrap/>
            <w:hideMark/>
          </w:tcPr>
          <w:p w14:paraId="2EB3DBF7" w14:textId="77777777" w:rsidR="002E6661" w:rsidRPr="0077452B" w:rsidRDefault="002E6661" w:rsidP="00206D84">
            <w:pPr>
              <w:rPr>
                <w:rFonts w:ascii="Times New Roman" w:hAnsi="Times New Roman" w:cs="Times New Roman"/>
                <w:b w:val="0"/>
              </w:rPr>
            </w:pPr>
            <w:r w:rsidRPr="0077452B">
              <w:rPr>
                <w:rFonts w:ascii="Times New Roman" w:hAnsi="Times New Roman" w:cs="Times New Roman"/>
                <w:b w:val="0"/>
              </w:rPr>
              <w:t>Total TEs (USD, million)</w:t>
            </w:r>
          </w:p>
        </w:tc>
        <w:tc>
          <w:tcPr>
            <w:tcW w:w="1195" w:type="dxa"/>
            <w:noWrap/>
            <w:hideMark/>
          </w:tcPr>
          <w:p w14:paraId="450A63F4" w14:textId="77777777" w:rsidR="002E6661" w:rsidRPr="00E37C33"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37C33">
              <w:rPr>
                <w:rFonts w:ascii="Times New Roman" w:hAnsi="Times New Roman" w:cs="Times New Roman"/>
              </w:rPr>
              <w:t>6,680.01</w:t>
            </w:r>
          </w:p>
        </w:tc>
        <w:tc>
          <w:tcPr>
            <w:tcW w:w="1080" w:type="dxa"/>
            <w:noWrap/>
            <w:hideMark/>
          </w:tcPr>
          <w:p w14:paraId="3AA95D96" w14:textId="77777777" w:rsidR="002E6661" w:rsidRPr="00E37C33"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37C33">
              <w:rPr>
                <w:rFonts w:ascii="Times New Roman" w:hAnsi="Times New Roman" w:cs="Times New Roman"/>
              </w:rPr>
              <w:t>5,889.03</w:t>
            </w:r>
          </w:p>
        </w:tc>
        <w:tc>
          <w:tcPr>
            <w:tcW w:w="1350" w:type="dxa"/>
            <w:noWrap/>
            <w:hideMark/>
          </w:tcPr>
          <w:p w14:paraId="0E780415" w14:textId="77777777" w:rsidR="002E6661" w:rsidRPr="00E37C33"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37C33">
              <w:rPr>
                <w:rFonts w:ascii="Times New Roman" w:hAnsi="Times New Roman" w:cs="Times New Roman"/>
              </w:rPr>
              <w:t>8,397.88</w:t>
            </w:r>
          </w:p>
        </w:tc>
        <w:tc>
          <w:tcPr>
            <w:tcW w:w="1260" w:type="dxa"/>
            <w:noWrap/>
            <w:hideMark/>
          </w:tcPr>
          <w:p w14:paraId="2D416323" w14:textId="77777777" w:rsidR="002E6661" w:rsidRPr="00E37C33"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37C33">
              <w:rPr>
                <w:rFonts w:ascii="Times New Roman" w:hAnsi="Times New Roman" w:cs="Times New Roman"/>
              </w:rPr>
              <w:t>8,128.78</w:t>
            </w:r>
          </w:p>
        </w:tc>
        <w:tc>
          <w:tcPr>
            <w:tcW w:w="1620" w:type="dxa"/>
            <w:noWrap/>
            <w:hideMark/>
          </w:tcPr>
          <w:p w14:paraId="4084F075" w14:textId="77777777" w:rsidR="002E6661" w:rsidRPr="00E37C33"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37C33">
              <w:rPr>
                <w:rFonts w:ascii="Times New Roman" w:hAnsi="Times New Roman" w:cs="Times New Roman"/>
              </w:rPr>
              <w:t>6,187.56</w:t>
            </w:r>
          </w:p>
        </w:tc>
      </w:tr>
      <w:tr w:rsidR="002E6661" w:rsidRPr="00E37C33" w14:paraId="629ED6A1" w14:textId="77777777" w:rsidTr="00206D84">
        <w:trPr>
          <w:trHeight w:val="300"/>
        </w:trPr>
        <w:tc>
          <w:tcPr>
            <w:cnfStyle w:val="001000000000" w:firstRow="0" w:lastRow="0" w:firstColumn="1" w:lastColumn="0" w:oddVBand="0" w:evenVBand="0" w:oddHBand="0" w:evenHBand="0" w:firstRowFirstColumn="0" w:firstRowLastColumn="0" w:lastRowFirstColumn="0" w:lastRowLastColumn="0"/>
            <w:tcW w:w="3300" w:type="dxa"/>
            <w:noWrap/>
            <w:hideMark/>
          </w:tcPr>
          <w:p w14:paraId="5795F0BD" w14:textId="77777777" w:rsidR="002E6661" w:rsidRPr="0077452B" w:rsidRDefault="002E6661" w:rsidP="00206D84">
            <w:pPr>
              <w:rPr>
                <w:rFonts w:ascii="Times New Roman" w:hAnsi="Times New Roman" w:cs="Times New Roman"/>
                <w:b w:val="0"/>
              </w:rPr>
            </w:pPr>
            <w:r w:rsidRPr="0077452B">
              <w:rPr>
                <w:rFonts w:ascii="Times New Roman" w:hAnsi="Times New Roman" w:cs="Times New Roman"/>
                <w:b w:val="0"/>
              </w:rPr>
              <w:t>Total TEs Growth (Percent)</w:t>
            </w:r>
          </w:p>
        </w:tc>
        <w:tc>
          <w:tcPr>
            <w:tcW w:w="1195" w:type="dxa"/>
            <w:noWrap/>
            <w:hideMark/>
          </w:tcPr>
          <w:p w14:paraId="2E41753A" w14:textId="77777777" w:rsidR="002E6661" w:rsidRPr="00E37C33"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37C33">
              <w:rPr>
                <w:rFonts w:ascii="Times New Roman" w:hAnsi="Times New Roman" w:cs="Times New Roman"/>
              </w:rPr>
              <w:t>(2.49)</w:t>
            </w:r>
          </w:p>
        </w:tc>
        <w:tc>
          <w:tcPr>
            <w:tcW w:w="1080" w:type="dxa"/>
            <w:noWrap/>
            <w:hideMark/>
          </w:tcPr>
          <w:p w14:paraId="203B017F" w14:textId="77777777" w:rsidR="002E6661" w:rsidRPr="00E37C33"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37C33">
              <w:rPr>
                <w:rFonts w:ascii="Times New Roman" w:hAnsi="Times New Roman" w:cs="Times New Roman"/>
              </w:rPr>
              <w:t>(11.84)</w:t>
            </w:r>
          </w:p>
        </w:tc>
        <w:tc>
          <w:tcPr>
            <w:tcW w:w="1350" w:type="dxa"/>
            <w:noWrap/>
            <w:hideMark/>
          </w:tcPr>
          <w:p w14:paraId="12B52D4C" w14:textId="77777777" w:rsidR="002E6661" w:rsidRPr="00E37C33"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37C33">
              <w:rPr>
                <w:rFonts w:ascii="Times New Roman" w:hAnsi="Times New Roman" w:cs="Times New Roman"/>
              </w:rPr>
              <w:t>42.60</w:t>
            </w:r>
          </w:p>
        </w:tc>
        <w:tc>
          <w:tcPr>
            <w:tcW w:w="1260" w:type="dxa"/>
            <w:noWrap/>
            <w:hideMark/>
          </w:tcPr>
          <w:p w14:paraId="4B976D03" w14:textId="77777777" w:rsidR="002E6661" w:rsidRPr="00E37C33"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37C33">
              <w:rPr>
                <w:rFonts w:ascii="Times New Roman" w:hAnsi="Times New Roman" w:cs="Times New Roman"/>
              </w:rPr>
              <w:t>(3.20)</w:t>
            </w:r>
          </w:p>
        </w:tc>
        <w:tc>
          <w:tcPr>
            <w:tcW w:w="1620" w:type="dxa"/>
            <w:noWrap/>
            <w:hideMark/>
          </w:tcPr>
          <w:p w14:paraId="0B3DF2F8" w14:textId="77777777" w:rsidR="002E6661" w:rsidRPr="00E37C33"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37C33">
              <w:rPr>
                <w:rFonts w:ascii="Times New Roman" w:hAnsi="Times New Roman" w:cs="Times New Roman"/>
              </w:rPr>
              <w:t>(23.88)</w:t>
            </w:r>
          </w:p>
        </w:tc>
      </w:tr>
      <w:tr w:rsidR="002E6661" w:rsidRPr="00E37C33" w14:paraId="7F5F8E2C" w14:textId="77777777" w:rsidTr="00206D84">
        <w:trPr>
          <w:trHeight w:val="300"/>
        </w:trPr>
        <w:tc>
          <w:tcPr>
            <w:cnfStyle w:val="001000000000" w:firstRow="0" w:lastRow="0" w:firstColumn="1" w:lastColumn="0" w:oddVBand="0" w:evenVBand="0" w:oddHBand="0" w:evenHBand="0" w:firstRowFirstColumn="0" w:firstRowLastColumn="0" w:lastRowFirstColumn="0" w:lastRowLastColumn="0"/>
            <w:tcW w:w="3300" w:type="dxa"/>
            <w:noWrap/>
            <w:hideMark/>
          </w:tcPr>
          <w:p w14:paraId="029CC3B8" w14:textId="77777777" w:rsidR="002E6661" w:rsidRPr="0077452B" w:rsidRDefault="002E6661" w:rsidP="00206D84">
            <w:pPr>
              <w:rPr>
                <w:rFonts w:ascii="Times New Roman" w:hAnsi="Times New Roman" w:cs="Times New Roman"/>
                <w:b w:val="0"/>
              </w:rPr>
            </w:pPr>
            <w:r w:rsidRPr="0077452B">
              <w:rPr>
                <w:rFonts w:ascii="Times New Roman" w:hAnsi="Times New Roman" w:cs="Times New Roman"/>
                <w:b w:val="0"/>
              </w:rPr>
              <w:t>Total NTEs (USD, million)</w:t>
            </w:r>
          </w:p>
        </w:tc>
        <w:tc>
          <w:tcPr>
            <w:tcW w:w="1195" w:type="dxa"/>
            <w:noWrap/>
            <w:hideMark/>
          </w:tcPr>
          <w:p w14:paraId="530D2C87" w14:textId="77777777" w:rsidR="002E6661" w:rsidRPr="00E37C33"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37C33">
              <w:rPr>
                <w:rFonts w:ascii="Times New Roman" w:hAnsi="Times New Roman" w:cs="Times New Roman"/>
              </w:rPr>
              <w:t>2,264.13</w:t>
            </w:r>
          </w:p>
        </w:tc>
        <w:tc>
          <w:tcPr>
            <w:tcW w:w="1080" w:type="dxa"/>
            <w:noWrap/>
            <w:hideMark/>
          </w:tcPr>
          <w:p w14:paraId="3B722A36" w14:textId="77777777" w:rsidR="002E6661" w:rsidRPr="00E37C33"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37C33">
              <w:rPr>
                <w:rFonts w:ascii="Times New Roman" w:hAnsi="Times New Roman" w:cs="Times New Roman"/>
              </w:rPr>
              <w:t>1,927.54</w:t>
            </w:r>
          </w:p>
        </w:tc>
        <w:tc>
          <w:tcPr>
            <w:tcW w:w="1350" w:type="dxa"/>
            <w:noWrap/>
            <w:hideMark/>
          </w:tcPr>
          <w:p w14:paraId="25CA2B11" w14:textId="77777777" w:rsidR="002E6661" w:rsidRPr="00E37C33"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37C33">
              <w:rPr>
                <w:rFonts w:ascii="Times New Roman" w:hAnsi="Times New Roman" w:cs="Times New Roman"/>
              </w:rPr>
              <w:t>2,686.99</w:t>
            </w:r>
          </w:p>
        </w:tc>
        <w:tc>
          <w:tcPr>
            <w:tcW w:w="1260" w:type="dxa"/>
            <w:noWrap/>
            <w:hideMark/>
          </w:tcPr>
          <w:p w14:paraId="57E2EFA9" w14:textId="77777777" w:rsidR="002E6661" w:rsidRPr="00E37C33"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37C33">
              <w:rPr>
                <w:rFonts w:ascii="Times New Roman" w:hAnsi="Times New Roman" w:cs="Times New Roman"/>
              </w:rPr>
              <w:t>3,517.90</w:t>
            </w:r>
          </w:p>
        </w:tc>
        <w:tc>
          <w:tcPr>
            <w:tcW w:w="1620" w:type="dxa"/>
            <w:noWrap/>
            <w:hideMark/>
          </w:tcPr>
          <w:p w14:paraId="381100FC" w14:textId="77777777" w:rsidR="002E6661" w:rsidRPr="00E37C33"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37C33">
              <w:rPr>
                <w:rFonts w:ascii="Times New Roman" w:hAnsi="Times New Roman" w:cs="Times New Roman"/>
              </w:rPr>
              <w:t>4,231.27</w:t>
            </w:r>
          </w:p>
        </w:tc>
      </w:tr>
      <w:tr w:rsidR="002E6661" w:rsidRPr="00E37C33" w14:paraId="1DD1C70C" w14:textId="77777777" w:rsidTr="00206D84">
        <w:trPr>
          <w:trHeight w:val="300"/>
        </w:trPr>
        <w:tc>
          <w:tcPr>
            <w:cnfStyle w:val="001000000000" w:firstRow="0" w:lastRow="0" w:firstColumn="1" w:lastColumn="0" w:oddVBand="0" w:evenVBand="0" w:oddHBand="0" w:evenHBand="0" w:firstRowFirstColumn="0" w:firstRowLastColumn="0" w:lastRowFirstColumn="0" w:lastRowLastColumn="0"/>
            <w:tcW w:w="3300" w:type="dxa"/>
            <w:noWrap/>
            <w:hideMark/>
          </w:tcPr>
          <w:p w14:paraId="0FDE2AE5" w14:textId="77777777" w:rsidR="002E6661" w:rsidRPr="0077452B" w:rsidRDefault="002E6661" w:rsidP="00206D84">
            <w:pPr>
              <w:rPr>
                <w:rFonts w:ascii="Times New Roman" w:hAnsi="Times New Roman" w:cs="Times New Roman"/>
                <w:b w:val="0"/>
              </w:rPr>
            </w:pPr>
            <w:r w:rsidRPr="0077452B">
              <w:rPr>
                <w:rFonts w:ascii="Times New Roman" w:hAnsi="Times New Roman" w:cs="Times New Roman"/>
                <w:b w:val="0"/>
              </w:rPr>
              <w:t>NTE Growth (Percent)</w:t>
            </w:r>
          </w:p>
        </w:tc>
        <w:tc>
          <w:tcPr>
            <w:tcW w:w="1195" w:type="dxa"/>
            <w:noWrap/>
            <w:hideMark/>
          </w:tcPr>
          <w:p w14:paraId="59203EE0" w14:textId="77777777" w:rsidR="002E6661" w:rsidRPr="00E37C33"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37C33">
              <w:rPr>
                <w:rFonts w:ascii="Times New Roman" w:hAnsi="Times New Roman" w:cs="Times New Roman"/>
              </w:rPr>
              <w:t>2.12</w:t>
            </w:r>
          </w:p>
        </w:tc>
        <w:tc>
          <w:tcPr>
            <w:tcW w:w="1080" w:type="dxa"/>
            <w:noWrap/>
            <w:hideMark/>
          </w:tcPr>
          <w:p w14:paraId="4518ED3E" w14:textId="77777777" w:rsidR="002E6661" w:rsidRPr="00E37C33"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37C33">
              <w:rPr>
                <w:rFonts w:ascii="Times New Roman" w:hAnsi="Times New Roman" w:cs="Times New Roman"/>
              </w:rPr>
              <w:t>(14.87)</w:t>
            </w:r>
          </w:p>
        </w:tc>
        <w:tc>
          <w:tcPr>
            <w:tcW w:w="1350" w:type="dxa"/>
            <w:noWrap/>
            <w:hideMark/>
          </w:tcPr>
          <w:p w14:paraId="68524381" w14:textId="77777777" w:rsidR="002E6661" w:rsidRPr="00E37C33"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37C33">
              <w:rPr>
                <w:rFonts w:ascii="Times New Roman" w:hAnsi="Times New Roman" w:cs="Times New Roman"/>
              </w:rPr>
              <w:t>39.40</w:t>
            </w:r>
          </w:p>
        </w:tc>
        <w:tc>
          <w:tcPr>
            <w:tcW w:w="1260" w:type="dxa"/>
            <w:noWrap/>
            <w:hideMark/>
          </w:tcPr>
          <w:p w14:paraId="36F49FDA" w14:textId="77777777" w:rsidR="002E6661" w:rsidRPr="00E37C33"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37C33">
              <w:rPr>
                <w:rFonts w:ascii="Times New Roman" w:hAnsi="Times New Roman" w:cs="Times New Roman"/>
              </w:rPr>
              <w:t>30.92</w:t>
            </w:r>
          </w:p>
        </w:tc>
        <w:tc>
          <w:tcPr>
            <w:tcW w:w="1620" w:type="dxa"/>
            <w:noWrap/>
            <w:hideMark/>
          </w:tcPr>
          <w:p w14:paraId="61A54EED" w14:textId="77777777" w:rsidR="002E6661" w:rsidRPr="00E37C33"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37C33">
              <w:rPr>
                <w:rFonts w:ascii="Times New Roman" w:hAnsi="Times New Roman" w:cs="Times New Roman"/>
              </w:rPr>
              <w:t>20.28</w:t>
            </w:r>
          </w:p>
        </w:tc>
      </w:tr>
      <w:tr w:rsidR="002E6661" w:rsidRPr="00E37C33" w14:paraId="2F483F7C" w14:textId="77777777" w:rsidTr="00206D84">
        <w:trPr>
          <w:trHeight w:val="300"/>
        </w:trPr>
        <w:tc>
          <w:tcPr>
            <w:cnfStyle w:val="001000000000" w:firstRow="0" w:lastRow="0" w:firstColumn="1" w:lastColumn="0" w:oddVBand="0" w:evenVBand="0" w:oddHBand="0" w:evenHBand="0" w:firstRowFirstColumn="0" w:firstRowLastColumn="0" w:lastRowFirstColumn="0" w:lastRowLastColumn="0"/>
            <w:tcW w:w="3300" w:type="dxa"/>
            <w:noWrap/>
            <w:hideMark/>
          </w:tcPr>
          <w:p w14:paraId="13CDCEE2" w14:textId="77777777" w:rsidR="002E6661" w:rsidRPr="0077452B" w:rsidRDefault="002E6661" w:rsidP="00206D84">
            <w:pPr>
              <w:rPr>
                <w:rFonts w:ascii="Times New Roman" w:hAnsi="Times New Roman" w:cs="Times New Roman"/>
                <w:b w:val="0"/>
              </w:rPr>
            </w:pPr>
            <w:r w:rsidRPr="0077452B">
              <w:rPr>
                <w:rFonts w:ascii="Times New Roman" w:hAnsi="Times New Roman" w:cs="Times New Roman"/>
                <w:b w:val="0"/>
              </w:rPr>
              <w:t>NTEs as Percent of Total Exports</w:t>
            </w:r>
          </w:p>
        </w:tc>
        <w:tc>
          <w:tcPr>
            <w:tcW w:w="1195" w:type="dxa"/>
            <w:noWrap/>
            <w:hideMark/>
          </w:tcPr>
          <w:p w14:paraId="59867E6E" w14:textId="77777777" w:rsidR="002E6661" w:rsidRPr="00E37C33"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37C33">
              <w:rPr>
                <w:rFonts w:ascii="Times New Roman" w:hAnsi="Times New Roman" w:cs="Times New Roman"/>
              </w:rPr>
              <w:t>25.31</w:t>
            </w:r>
          </w:p>
        </w:tc>
        <w:tc>
          <w:tcPr>
            <w:tcW w:w="1080" w:type="dxa"/>
            <w:noWrap/>
            <w:hideMark/>
          </w:tcPr>
          <w:p w14:paraId="17AD22FF" w14:textId="77777777" w:rsidR="002E6661" w:rsidRPr="00E37C33"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37C33">
              <w:rPr>
                <w:rFonts w:ascii="Times New Roman" w:hAnsi="Times New Roman" w:cs="Times New Roman"/>
              </w:rPr>
              <w:t>24.66</w:t>
            </w:r>
          </w:p>
        </w:tc>
        <w:tc>
          <w:tcPr>
            <w:tcW w:w="1350" w:type="dxa"/>
            <w:noWrap/>
            <w:hideMark/>
          </w:tcPr>
          <w:p w14:paraId="68244CBA" w14:textId="77777777" w:rsidR="002E6661" w:rsidRPr="00E37C33"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37C33">
              <w:rPr>
                <w:rFonts w:ascii="Times New Roman" w:hAnsi="Times New Roman" w:cs="Times New Roman"/>
              </w:rPr>
              <w:t>24.24</w:t>
            </w:r>
          </w:p>
        </w:tc>
        <w:tc>
          <w:tcPr>
            <w:tcW w:w="1260" w:type="dxa"/>
            <w:noWrap/>
            <w:hideMark/>
          </w:tcPr>
          <w:p w14:paraId="53A06F55" w14:textId="77777777" w:rsidR="002E6661" w:rsidRPr="00E37C33"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37C33">
              <w:rPr>
                <w:rFonts w:ascii="Times New Roman" w:hAnsi="Times New Roman" w:cs="Times New Roman"/>
              </w:rPr>
              <w:t>30.21</w:t>
            </w:r>
          </w:p>
        </w:tc>
        <w:tc>
          <w:tcPr>
            <w:tcW w:w="1620" w:type="dxa"/>
            <w:noWrap/>
            <w:hideMark/>
          </w:tcPr>
          <w:p w14:paraId="4CDC0212" w14:textId="77777777" w:rsidR="002E6661" w:rsidRPr="00E37C33"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37C33">
              <w:rPr>
                <w:rFonts w:ascii="Times New Roman" w:hAnsi="Times New Roman" w:cs="Times New Roman"/>
              </w:rPr>
              <w:t>40.61</w:t>
            </w:r>
          </w:p>
        </w:tc>
      </w:tr>
    </w:tbl>
    <w:p w14:paraId="01B854D0" w14:textId="77777777" w:rsidR="002E6661" w:rsidRPr="00C015E9" w:rsidRDefault="002E6661" w:rsidP="002E6661">
      <w:pPr>
        <w:jc w:val="both"/>
        <w:rPr>
          <w:rFonts w:ascii="Times New Roman" w:hAnsi="Times New Roman" w:cs="Times New Roman"/>
          <w:b/>
          <w:sz w:val="20"/>
          <w:szCs w:val="20"/>
        </w:rPr>
      </w:pPr>
      <w:r>
        <w:rPr>
          <w:rFonts w:ascii="Times New Roman" w:hAnsi="Times New Roman" w:cs="Times New Roman"/>
          <w:b/>
          <w:i/>
          <w:sz w:val="20"/>
          <w:szCs w:val="20"/>
        </w:rPr>
        <w:t>(</w:t>
      </w:r>
      <w:r w:rsidRPr="00C015E9">
        <w:rPr>
          <w:rFonts w:ascii="Times New Roman" w:hAnsi="Times New Roman" w:cs="Times New Roman"/>
          <w:b/>
          <w:i/>
          <w:sz w:val="20"/>
          <w:szCs w:val="20"/>
        </w:rPr>
        <w:t>Source: ZAMSTATS</w:t>
      </w:r>
      <w:r>
        <w:rPr>
          <w:rFonts w:ascii="Times New Roman" w:hAnsi="Times New Roman" w:cs="Times New Roman"/>
          <w:b/>
          <w:i/>
          <w:sz w:val="20"/>
          <w:szCs w:val="20"/>
        </w:rPr>
        <w:t>, ZDA)</w:t>
      </w:r>
    </w:p>
    <w:p w14:paraId="179A5E19" w14:textId="77777777" w:rsidR="002E6661" w:rsidRDefault="002E6661" w:rsidP="002E6661">
      <w:pPr>
        <w:jc w:val="both"/>
        <w:rPr>
          <w:rFonts w:ascii="Times New Roman" w:hAnsi="Times New Roman" w:cs="Times New Roman"/>
          <w:b/>
          <w:sz w:val="24"/>
          <w:szCs w:val="24"/>
        </w:rPr>
      </w:pPr>
    </w:p>
    <w:p w14:paraId="181890D8" w14:textId="77777777" w:rsidR="002E6661" w:rsidRDefault="002E6661" w:rsidP="002E6661">
      <w:pPr>
        <w:jc w:val="both"/>
        <w:rPr>
          <w:rFonts w:ascii="Times New Roman" w:hAnsi="Times New Roman" w:cs="Times New Roman"/>
          <w:b/>
          <w:sz w:val="24"/>
          <w:szCs w:val="24"/>
        </w:rPr>
      </w:pPr>
    </w:p>
    <w:p w14:paraId="01797BF3" w14:textId="77777777" w:rsidR="002E6661" w:rsidRDefault="002E6661" w:rsidP="002E6661">
      <w:pPr>
        <w:jc w:val="both"/>
        <w:rPr>
          <w:rFonts w:ascii="Times New Roman" w:hAnsi="Times New Roman" w:cs="Times New Roman"/>
          <w:b/>
          <w:sz w:val="24"/>
          <w:szCs w:val="24"/>
        </w:rPr>
      </w:pPr>
    </w:p>
    <w:p w14:paraId="2C94C5B6" w14:textId="77777777" w:rsidR="002E6661" w:rsidRDefault="002E6661" w:rsidP="002E6661">
      <w:pPr>
        <w:jc w:val="both"/>
        <w:rPr>
          <w:rFonts w:ascii="Times New Roman" w:hAnsi="Times New Roman" w:cs="Times New Roman"/>
          <w:b/>
          <w:sz w:val="24"/>
          <w:szCs w:val="24"/>
        </w:rPr>
      </w:pPr>
    </w:p>
    <w:p w14:paraId="6271A5F1" w14:textId="77777777" w:rsidR="002E6661" w:rsidRDefault="002E6661" w:rsidP="002E6661">
      <w:pPr>
        <w:pStyle w:val="Caption"/>
        <w:spacing w:after="0"/>
      </w:pPr>
      <w:bookmarkStart w:id="2" w:name="_Toc157772316"/>
      <w:r w:rsidRPr="00C015E9">
        <w:rPr>
          <w:sz w:val="20"/>
          <w:szCs w:val="20"/>
        </w:rPr>
        <w:t xml:space="preserve">Figure </w:t>
      </w:r>
      <w:r w:rsidRPr="00C015E9">
        <w:rPr>
          <w:sz w:val="20"/>
          <w:szCs w:val="20"/>
        </w:rPr>
        <w:fldChar w:fldCharType="begin"/>
      </w:r>
      <w:r w:rsidRPr="00C015E9">
        <w:rPr>
          <w:sz w:val="20"/>
          <w:szCs w:val="20"/>
        </w:rPr>
        <w:instrText xml:space="preserve"> SEQ Figure \* ARABIC </w:instrText>
      </w:r>
      <w:r w:rsidRPr="00C015E9">
        <w:rPr>
          <w:sz w:val="20"/>
          <w:szCs w:val="20"/>
        </w:rPr>
        <w:fldChar w:fldCharType="separate"/>
      </w:r>
      <w:r w:rsidRPr="00C015E9">
        <w:rPr>
          <w:sz w:val="20"/>
          <w:szCs w:val="20"/>
        </w:rPr>
        <w:t>11</w:t>
      </w:r>
      <w:r w:rsidRPr="00C015E9">
        <w:rPr>
          <w:sz w:val="20"/>
          <w:szCs w:val="20"/>
        </w:rPr>
        <w:fldChar w:fldCharType="end"/>
      </w:r>
      <w:r w:rsidRPr="00C015E9">
        <w:rPr>
          <w:sz w:val="20"/>
          <w:szCs w:val="20"/>
        </w:rPr>
        <w:t>: Z</w:t>
      </w:r>
      <w:r>
        <w:rPr>
          <w:sz w:val="20"/>
          <w:szCs w:val="20"/>
        </w:rPr>
        <w:t>ambia’s Export Composition, 2019</w:t>
      </w:r>
      <w:r w:rsidRPr="00C015E9">
        <w:rPr>
          <w:sz w:val="20"/>
          <w:szCs w:val="20"/>
        </w:rPr>
        <w:t xml:space="preserve"> - 202</w:t>
      </w:r>
      <w:r>
        <w:rPr>
          <w:sz w:val="20"/>
          <w:szCs w:val="20"/>
        </w:rPr>
        <w:t>3</w:t>
      </w:r>
      <w:bookmarkEnd w:id="2"/>
    </w:p>
    <w:p w14:paraId="3CF7F730" w14:textId="77777777" w:rsidR="002E6661" w:rsidRPr="0077452B" w:rsidRDefault="002E6661" w:rsidP="002E6661">
      <w:r>
        <w:rPr>
          <w:noProof/>
          <w:lang w:val="en-US"/>
        </w:rPr>
        <w:drawing>
          <wp:inline distT="0" distB="0" distL="0" distR="0" wp14:anchorId="33857E63" wp14:editId="234E6A58">
            <wp:extent cx="5781675" cy="2886075"/>
            <wp:effectExtent l="0" t="0" r="9525" b="9525"/>
            <wp:docPr id="9" name="Chart 9">
              <a:extLst xmlns:a="http://schemas.openxmlformats.org/drawingml/2006/main">
                <a:ext uri="{FF2B5EF4-FFF2-40B4-BE49-F238E27FC236}">
                  <a16:creationId xmlns:a16="http://schemas.microsoft.com/office/drawing/2014/main" id="{00000000-0008-0000-0A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
              </a:graphicData>
            </a:graphic>
          </wp:inline>
        </w:drawing>
      </w:r>
    </w:p>
    <w:p w14:paraId="0FD2CC80" w14:textId="77777777" w:rsidR="002E6661" w:rsidRPr="00C015E9" w:rsidRDefault="002E6661" w:rsidP="002E6661">
      <w:pPr>
        <w:pStyle w:val="Caption"/>
        <w:spacing w:after="0"/>
        <w:rPr>
          <w:b/>
          <w:i/>
          <w:color w:val="auto"/>
          <w:sz w:val="24"/>
          <w:szCs w:val="24"/>
        </w:rPr>
      </w:pPr>
      <w:r w:rsidRPr="00C015E9">
        <w:rPr>
          <w:b/>
          <w:color w:val="auto"/>
          <w:sz w:val="20"/>
          <w:szCs w:val="20"/>
        </w:rPr>
        <w:lastRenderedPageBreak/>
        <w:t>(</w:t>
      </w:r>
      <w:r w:rsidRPr="00C015E9">
        <w:rPr>
          <w:b/>
          <w:i/>
          <w:color w:val="auto"/>
          <w:sz w:val="20"/>
          <w:szCs w:val="20"/>
        </w:rPr>
        <w:t>Source: ZAMSTATS</w:t>
      </w:r>
      <w:r>
        <w:rPr>
          <w:b/>
          <w:i/>
          <w:color w:val="auto"/>
          <w:sz w:val="20"/>
          <w:szCs w:val="20"/>
        </w:rPr>
        <w:t>, ZDA</w:t>
      </w:r>
      <w:r w:rsidRPr="00C015E9">
        <w:rPr>
          <w:b/>
          <w:i/>
          <w:color w:val="auto"/>
          <w:sz w:val="24"/>
          <w:szCs w:val="24"/>
        </w:rPr>
        <w:t>)</w:t>
      </w:r>
    </w:p>
    <w:p w14:paraId="24FBF8BC" w14:textId="77777777" w:rsidR="002E6661" w:rsidRPr="00C015E9" w:rsidRDefault="002E6661" w:rsidP="002E6661">
      <w:pPr>
        <w:spacing w:after="0"/>
      </w:pPr>
    </w:p>
    <w:p w14:paraId="7181FA8B" w14:textId="77777777" w:rsidR="002E6661" w:rsidRPr="000C34E3" w:rsidRDefault="002E6661" w:rsidP="002E6661">
      <w:pPr>
        <w:rPr>
          <w:rFonts w:ascii="Times New Roman" w:hAnsi="Times New Roman" w:cs="Times New Roman"/>
          <w:b/>
          <w:sz w:val="24"/>
          <w:szCs w:val="24"/>
        </w:rPr>
      </w:pPr>
      <w:r w:rsidRPr="000C34E3">
        <w:rPr>
          <w:rFonts w:ascii="Times New Roman" w:hAnsi="Times New Roman" w:cs="Times New Roman"/>
          <w:b/>
          <w:sz w:val="24"/>
          <w:szCs w:val="24"/>
        </w:rPr>
        <w:t>Sectorial Contribution of NTEs</w:t>
      </w:r>
      <w:r w:rsidRPr="000C34E3">
        <w:rPr>
          <w:rFonts w:ascii="Times New Roman" w:hAnsi="Times New Roman" w:cs="Times New Roman"/>
          <w:sz w:val="24"/>
          <w:szCs w:val="24"/>
        </w:rPr>
        <w:t xml:space="preserve"> </w:t>
      </w:r>
    </w:p>
    <w:p w14:paraId="227593D2" w14:textId="77777777" w:rsidR="002E6661" w:rsidRPr="00C015E9" w:rsidRDefault="002E6661" w:rsidP="002E6661">
      <w:pPr>
        <w:spacing w:before="240"/>
        <w:jc w:val="both"/>
        <w:rPr>
          <w:rFonts w:ascii="Times New Roman" w:hAnsi="Times New Roman" w:cs="Times New Roman"/>
          <w:sz w:val="24"/>
          <w:szCs w:val="24"/>
        </w:rPr>
      </w:pPr>
      <w:r>
        <w:rPr>
          <w:rFonts w:ascii="Times New Roman" w:hAnsi="Times New Roman" w:cs="Times New Roman"/>
          <w:sz w:val="24"/>
          <w:szCs w:val="24"/>
        </w:rPr>
        <w:t xml:space="preserve">At sectorial level, the Engineering and Foundry sector recorded the largest share of NTEs in 2023, accounting for USD 988 million, representing 23.36 percent of the total NTEs in comparison to USD 670 million in 2022 which represented 19.04 percent. </w:t>
      </w:r>
      <w:r w:rsidRPr="00654C57">
        <w:rPr>
          <w:rFonts w:ascii="Times New Roman" w:hAnsi="Times New Roman" w:cs="Times New Roman"/>
          <w:sz w:val="24"/>
          <w:szCs w:val="24"/>
        </w:rPr>
        <w:t xml:space="preserve">This was followed by </w:t>
      </w:r>
      <w:r w:rsidRPr="00774E16">
        <w:rPr>
          <w:rFonts w:ascii="Times New Roman" w:hAnsi="Times New Roman" w:cs="Times New Roman"/>
          <w:sz w:val="24"/>
          <w:szCs w:val="24"/>
        </w:rPr>
        <w:t>Chemicals and Pharmaceuticals</w:t>
      </w:r>
      <w:r>
        <w:rPr>
          <w:rFonts w:ascii="Times New Roman" w:hAnsi="Times New Roman" w:cs="Times New Roman"/>
          <w:sz w:val="24"/>
          <w:szCs w:val="24"/>
        </w:rPr>
        <w:t xml:space="preserve"> (USD 841 million); Processed and Refined Foods (USD 548 million</w:t>
      </w:r>
      <w:r w:rsidRPr="00654C57">
        <w:rPr>
          <w:rFonts w:ascii="Times New Roman" w:hAnsi="Times New Roman" w:cs="Times New Roman"/>
          <w:sz w:val="24"/>
          <w:szCs w:val="24"/>
        </w:rPr>
        <w:t xml:space="preserve">); </w:t>
      </w:r>
      <w:r>
        <w:rPr>
          <w:rFonts w:ascii="Times New Roman" w:hAnsi="Times New Roman" w:cs="Times New Roman"/>
          <w:sz w:val="24"/>
          <w:szCs w:val="24"/>
        </w:rPr>
        <w:t>Primary Agriculture (USD 443 million); and Electricity (USD 332 million) representing 19.87</w:t>
      </w:r>
      <w:r w:rsidRPr="00654C57">
        <w:rPr>
          <w:rFonts w:ascii="Times New Roman" w:hAnsi="Times New Roman" w:cs="Times New Roman"/>
          <w:sz w:val="24"/>
          <w:szCs w:val="24"/>
        </w:rPr>
        <w:t xml:space="preserve">, </w:t>
      </w:r>
      <w:r>
        <w:rPr>
          <w:rFonts w:ascii="Times New Roman" w:hAnsi="Times New Roman" w:cs="Times New Roman"/>
          <w:sz w:val="24"/>
          <w:szCs w:val="24"/>
        </w:rPr>
        <w:t xml:space="preserve">12.94, 10.46 and 7.84 </w:t>
      </w:r>
      <w:r w:rsidRPr="00654C57">
        <w:rPr>
          <w:rFonts w:ascii="Times New Roman" w:hAnsi="Times New Roman" w:cs="Times New Roman"/>
          <w:sz w:val="24"/>
          <w:szCs w:val="24"/>
        </w:rPr>
        <w:t>percent respect</w:t>
      </w:r>
      <w:r>
        <w:rPr>
          <w:rFonts w:ascii="Times New Roman" w:hAnsi="Times New Roman" w:cs="Times New Roman"/>
          <w:sz w:val="24"/>
          <w:szCs w:val="24"/>
        </w:rPr>
        <w:t xml:space="preserve">ively. The rest of the sectors </w:t>
      </w:r>
      <w:r w:rsidRPr="00654C57">
        <w:rPr>
          <w:rFonts w:ascii="Times New Roman" w:hAnsi="Times New Roman" w:cs="Times New Roman"/>
          <w:sz w:val="24"/>
          <w:szCs w:val="24"/>
        </w:rPr>
        <w:t>combined</w:t>
      </w:r>
      <w:r>
        <w:rPr>
          <w:rFonts w:ascii="Times New Roman" w:hAnsi="Times New Roman" w:cs="Times New Roman"/>
          <w:sz w:val="24"/>
          <w:szCs w:val="24"/>
        </w:rPr>
        <w:t xml:space="preserve"> contributed a total of USD 1.08 billion, representing 25.53 percent. Refer to Figure 12</w:t>
      </w:r>
      <w:r w:rsidRPr="009E539A">
        <w:rPr>
          <w:rFonts w:ascii="Times New Roman" w:hAnsi="Times New Roman" w:cs="Times New Roman"/>
          <w:sz w:val="24"/>
          <w:szCs w:val="24"/>
        </w:rPr>
        <w:t>.</w:t>
      </w:r>
      <w:r w:rsidRPr="00C015E9">
        <w:rPr>
          <w:rFonts w:ascii="Times New Roman" w:hAnsi="Times New Roman" w:cs="Times New Roman"/>
          <w:sz w:val="24"/>
          <w:szCs w:val="24"/>
        </w:rPr>
        <w:t xml:space="preserve"> </w:t>
      </w:r>
    </w:p>
    <w:p w14:paraId="13B4935E" w14:textId="77777777" w:rsidR="002E6661" w:rsidRDefault="002E6661" w:rsidP="002E6661">
      <w:pPr>
        <w:pStyle w:val="Caption"/>
        <w:spacing w:after="0"/>
        <w:rPr>
          <w:b/>
          <w:sz w:val="24"/>
          <w:szCs w:val="24"/>
        </w:rPr>
      </w:pPr>
      <w:bookmarkStart w:id="3" w:name="_Toc157772317"/>
      <w:r w:rsidRPr="00C015E9">
        <w:rPr>
          <w:sz w:val="20"/>
          <w:szCs w:val="20"/>
        </w:rPr>
        <w:t xml:space="preserve">Figure </w:t>
      </w:r>
      <w:r w:rsidRPr="00C015E9">
        <w:rPr>
          <w:sz w:val="20"/>
          <w:szCs w:val="20"/>
        </w:rPr>
        <w:fldChar w:fldCharType="begin"/>
      </w:r>
      <w:r w:rsidRPr="00C015E9">
        <w:rPr>
          <w:sz w:val="20"/>
          <w:szCs w:val="20"/>
        </w:rPr>
        <w:instrText xml:space="preserve"> SEQ Figure \* ARABIC </w:instrText>
      </w:r>
      <w:r w:rsidRPr="00C015E9">
        <w:rPr>
          <w:sz w:val="20"/>
          <w:szCs w:val="20"/>
        </w:rPr>
        <w:fldChar w:fldCharType="separate"/>
      </w:r>
      <w:r w:rsidRPr="00C015E9">
        <w:rPr>
          <w:sz w:val="20"/>
          <w:szCs w:val="20"/>
        </w:rPr>
        <w:t>12</w:t>
      </w:r>
      <w:r w:rsidRPr="00C015E9">
        <w:rPr>
          <w:sz w:val="20"/>
          <w:szCs w:val="20"/>
        </w:rPr>
        <w:fldChar w:fldCharType="end"/>
      </w:r>
      <w:r w:rsidRPr="00C015E9">
        <w:rPr>
          <w:sz w:val="20"/>
          <w:szCs w:val="20"/>
        </w:rPr>
        <w:t>: Sect</w:t>
      </w:r>
      <w:r>
        <w:rPr>
          <w:sz w:val="20"/>
          <w:szCs w:val="20"/>
        </w:rPr>
        <w:t>orial Contribution to NTEs, 2022</w:t>
      </w:r>
      <w:r w:rsidRPr="00C015E9">
        <w:rPr>
          <w:sz w:val="20"/>
          <w:szCs w:val="20"/>
        </w:rPr>
        <w:t xml:space="preserve"> - 202</w:t>
      </w:r>
      <w:r>
        <w:rPr>
          <w:sz w:val="20"/>
          <w:szCs w:val="20"/>
        </w:rPr>
        <w:t>3</w:t>
      </w:r>
      <w:bookmarkEnd w:id="3"/>
      <w:r w:rsidRPr="00C015E9">
        <w:rPr>
          <w:b/>
          <w:sz w:val="24"/>
          <w:szCs w:val="24"/>
        </w:rPr>
        <w:t xml:space="preserve">   </w:t>
      </w:r>
    </w:p>
    <w:p w14:paraId="118639D8" w14:textId="77777777" w:rsidR="002E6661" w:rsidRPr="00901CB3" w:rsidRDefault="002E6661" w:rsidP="002E6661">
      <w:r>
        <w:rPr>
          <w:noProof/>
          <w:lang w:val="en-US"/>
        </w:rPr>
        <w:drawing>
          <wp:inline distT="0" distB="0" distL="0" distR="0" wp14:anchorId="1252654C" wp14:editId="7E04D857">
            <wp:extent cx="5553075" cy="3024188"/>
            <wp:effectExtent l="0" t="0" r="9525" b="508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
              </a:graphicData>
            </a:graphic>
          </wp:inline>
        </w:drawing>
      </w:r>
    </w:p>
    <w:p w14:paraId="6565CBE3" w14:textId="77777777" w:rsidR="002E6661" w:rsidRPr="00C015E9" w:rsidRDefault="002E6661" w:rsidP="002E6661">
      <w:pPr>
        <w:pStyle w:val="Caption"/>
        <w:spacing w:after="0"/>
        <w:rPr>
          <w:b/>
          <w:sz w:val="24"/>
          <w:szCs w:val="24"/>
        </w:rPr>
      </w:pPr>
      <w:r w:rsidRPr="00C015E9">
        <w:rPr>
          <w:b/>
          <w:color w:val="000000" w:themeColor="text1"/>
          <w:sz w:val="20"/>
          <w:szCs w:val="20"/>
        </w:rPr>
        <w:t>(</w:t>
      </w:r>
      <w:r w:rsidRPr="00C015E9">
        <w:rPr>
          <w:b/>
          <w:i/>
          <w:color w:val="000000" w:themeColor="text1"/>
          <w:sz w:val="20"/>
          <w:szCs w:val="20"/>
        </w:rPr>
        <w:t>Source: ZAMSTATS</w:t>
      </w:r>
      <w:r>
        <w:rPr>
          <w:b/>
          <w:i/>
          <w:color w:val="000000" w:themeColor="text1"/>
          <w:sz w:val="20"/>
          <w:szCs w:val="20"/>
        </w:rPr>
        <w:t>, ZDA</w:t>
      </w:r>
      <w:r w:rsidRPr="00C015E9">
        <w:rPr>
          <w:b/>
          <w:i/>
          <w:color w:val="000000" w:themeColor="text1"/>
          <w:sz w:val="20"/>
          <w:szCs w:val="20"/>
        </w:rPr>
        <w:t>)</w:t>
      </w:r>
    </w:p>
    <w:p w14:paraId="0D4BBB0E" w14:textId="77777777" w:rsidR="002E6661" w:rsidRPr="00787840" w:rsidRDefault="002E6661" w:rsidP="002E6661">
      <w:pPr>
        <w:jc w:val="both"/>
        <w:rPr>
          <w:rFonts w:ascii="Times New Roman" w:hAnsi="Times New Roman" w:cs="Times New Roman"/>
          <w:b/>
          <w:sz w:val="24"/>
          <w:szCs w:val="24"/>
        </w:rPr>
      </w:pPr>
      <w:r w:rsidRPr="00787840">
        <w:rPr>
          <w:rFonts w:ascii="Times New Roman" w:hAnsi="Times New Roman" w:cs="Times New Roman"/>
          <w:b/>
          <w:sz w:val="24"/>
          <w:szCs w:val="24"/>
        </w:rPr>
        <w:t>Top Ten NTE Products</w:t>
      </w:r>
    </w:p>
    <w:p w14:paraId="2D53B7AB" w14:textId="77777777" w:rsidR="002E6661" w:rsidRPr="00AE0DCD" w:rsidRDefault="002E6661" w:rsidP="002E6661">
      <w:pPr>
        <w:jc w:val="both"/>
        <w:rPr>
          <w:rFonts w:ascii="Times New Roman" w:hAnsi="Times New Roman" w:cs="Times New Roman"/>
          <w:sz w:val="24"/>
          <w:szCs w:val="24"/>
        </w:rPr>
      </w:pPr>
      <w:r>
        <w:rPr>
          <w:rFonts w:ascii="Times New Roman" w:hAnsi="Times New Roman" w:cs="Times New Roman"/>
          <w:sz w:val="24"/>
          <w:szCs w:val="24"/>
        </w:rPr>
        <w:t xml:space="preserve">The top ten (10) NTE products in 2023 totalled USD 1.55 billion in comparison to USD 1 billion in 2022 representing an increase of 55%. </w:t>
      </w:r>
      <w:r w:rsidRPr="00AE0DCD">
        <w:rPr>
          <w:rFonts w:ascii="Times New Roman" w:hAnsi="Times New Roman" w:cs="Times New Roman"/>
          <w:sz w:val="24"/>
          <w:szCs w:val="24"/>
        </w:rPr>
        <w:t xml:space="preserve">Table 7 </w:t>
      </w:r>
      <w:r>
        <w:rPr>
          <w:rFonts w:ascii="Times New Roman" w:hAnsi="Times New Roman" w:cs="Times New Roman"/>
          <w:sz w:val="24"/>
          <w:szCs w:val="24"/>
        </w:rPr>
        <w:t>shows</w:t>
      </w:r>
      <w:r w:rsidRPr="00AE0DCD">
        <w:rPr>
          <w:rFonts w:ascii="Times New Roman" w:hAnsi="Times New Roman" w:cs="Times New Roman"/>
          <w:sz w:val="24"/>
          <w:szCs w:val="24"/>
        </w:rPr>
        <w:t xml:space="preserve"> the top 10 NTE products in 2023 in comparison to the top 10 NTE products in 2022.  </w:t>
      </w:r>
    </w:p>
    <w:p w14:paraId="7FB9DBB5" w14:textId="77777777" w:rsidR="002E6661" w:rsidRDefault="002E6661" w:rsidP="002E6661">
      <w:pPr>
        <w:pStyle w:val="Caption"/>
      </w:pPr>
      <w:r>
        <w:t xml:space="preserve">Table </w:t>
      </w:r>
      <w:r>
        <w:fldChar w:fldCharType="begin"/>
      </w:r>
      <w:r>
        <w:instrText xml:space="preserve"> SEQ Table \* ARABIC </w:instrText>
      </w:r>
      <w:r>
        <w:fldChar w:fldCharType="separate"/>
      </w:r>
      <w:r>
        <w:rPr>
          <w:noProof/>
        </w:rPr>
        <w:t>8</w:t>
      </w:r>
      <w:r>
        <w:fldChar w:fldCharType="end"/>
      </w:r>
      <w:r>
        <w:t xml:space="preserve">: </w:t>
      </w:r>
      <w:r w:rsidRPr="00ED5F62">
        <w:t>Top Ten NTE Products, 2022 -2023</w:t>
      </w:r>
    </w:p>
    <w:tbl>
      <w:tblPr>
        <w:tblStyle w:val="GridTable4-Accent51"/>
        <w:tblW w:w="5000" w:type="pct"/>
        <w:tblLook w:val="06A0" w:firstRow="1" w:lastRow="0" w:firstColumn="1" w:lastColumn="0" w:noHBand="1" w:noVBand="1"/>
      </w:tblPr>
      <w:tblGrid>
        <w:gridCol w:w="559"/>
        <w:gridCol w:w="1763"/>
        <w:gridCol w:w="930"/>
        <w:gridCol w:w="1390"/>
        <w:gridCol w:w="2390"/>
        <w:gridCol w:w="928"/>
        <w:gridCol w:w="1390"/>
      </w:tblGrid>
      <w:tr w:rsidR="002E6661" w:rsidRPr="00C93F88" w14:paraId="16FF2C13" w14:textId="77777777" w:rsidTr="00206D84">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87" w:type="pct"/>
            <w:noWrap/>
            <w:hideMark/>
          </w:tcPr>
          <w:p w14:paraId="182E9EA0" w14:textId="77777777" w:rsidR="002E6661" w:rsidRPr="00C93F88" w:rsidRDefault="002E6661" w:rsidP="00206D84">
            <w:pPr>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 </w:t>
            </w:r>
          </w:p>
        </w:tc>
        <w:tc>
          <w:tcPr>
            <w:tcW w:w="2198" w:type="pct"/>
            <w:gridSpan w:val="3"/>
            <w:noWrap/>
            <w:hideMark/>
          </w:tcPr>
          <w:p w14:paraId="4F881AF1" w14:textId="77777777" w:rsidR="002E6661" w:rsidRPr="00C93F88" w:rsidRDefault="002E6661" w:rsidP="00206D8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val="en-US"/>
              </w:rPr>
            </w:pPr>
            <w:r w:rsidRPr="00C93F88">
              <w:rPr>
                <w:rFonts w:ascii="Times New Roman" w:eastAsia="Times New Roman" w:hAnsi="Times New Roman" w:cs="Times New Roman"/>
                <w:szCs w:val="24"/>
                <w:lang w:val="en-US"/>
              </w:rPr>
              <w:t>2022</w:t>
            </w:r>
          </w:p>
        </w:tc>
        <w:tc>
          <w:tcPr>
            <w:tcW w:w="2515" w:type="pct"/>
            <w:gridSpan w:val="3"/>
            <w:noWrap/>
            <w:hideMark/>
          </w:tcPr>
          <w:p w14:paraId="337E7FF2" w14:textId="77777777" w:rsidR="002E6661" w:rsidRPr="00C93F88" w:rsidRDefault="002E6661" w:rsidP="00206D8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val="en-US"/>
              </w:rPr>
            </w:pPr>
            <w:r w:rsidRPr="00C93F88">
              <w:rPr>
                <w:rFonts w:ascii="Times New Roman" w:eastAsia="Times New Roman" w:hAnsi="Times New Roman" w:cs="Times New Roman"/>
                <w:szCs w:val="24"/>
                <w:lang w:val="en-US"/>
              </w:rPr>
              <w:t>2023</w:t>
            </w:r>
          </w:p>
        </w:tc>
      </w:tr>
      <w:tr w:rsidR="002E6661" w:rsidRPr="00181760" w14:paraId="6126959A" w14:textId="77777777" w:rsidTr="00206D84">
        <w:trPr>
          <w:trHeight w:val="765"/>
        </w:trPr>
        <w:tc>
          <w:tcPr>
            <w:cnfStyle w:val="001000000000" w:firstRow="0" w:lastRow="0" w:firstColumn="1" w:lastColumn="0" w:oddVBand="0" w:evenVBand="0" w:oddHBand="0" w:evenHBand="0" w:firstRowFirstColumn="0" w:firstRowLastColumn="0" w:lastRowFirstColumn="0" w:lastRowLastColumn="0"/>
            <w:tcW w:w="287" w:type="pct"/>
            <w:noWrap/>
            <w:hideMark/>
          </w:tcPr>
          <w:p w14:paraId="564AA17A" w14:textId="77777777" w:rsidR="002E6661" w:rsidRPr="00C93F88" w:rsidRDefault="002E6661" w:rsidP="00206D84">
            <w:pPr>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S/N</w:t>
            </w:r>
          </w:p>
        </w:tc>
        <w:tc>
          <w:tcPr>
            <w:tcW w:w="954" w:type="pct"/>
            <w:hideMark/>
          </w:tcPr>
          <w:p w14:paraId="0821B797" w14:textId="77777777" w:rsidR="002E6661" w:rsidRPr="00C93F88" w:rsidRDefault="002E6661" w:rsidP="00206D8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Cs w:val="24"/>
                <w:lang w:val="en-US"/>
              </w:rPr>
            </w:pPr>
            <w:r w:rsidRPr="00C93F88">
              <w:rPr>
                <w:rFonts w:ascii="Times New Roman" w:eastAsia="Times New Roman" w:hAnsi="Times New Roman" w:cs="Times New Roman"/>
                <w:b/>
                <w:color w:val="000000"/>
                <w:szCs w:val="24"/>
                <w:lang w:val="en-US"/>
              </w:rPr>
              <w:t>Product</w:t>
            </w:r>
          </w:p>
        </w:tc>
        <w:tc>
          <w:tcPr>
            <w:tcW w:w="508" w:type="pct"/>
            <w:hideMark/>
          </w:tcPr>
          <w:p w14:paraId="108CCF69" w14:textId="77777777" w:rsidR="002E6661" w:rsidRPr="00C93F88" w:rsidRDefault="002E6661" w:rsidP="00206D8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Cs w:val="24"/>
                <w:lang w:val="en-US"/>
              </w:rPr>
            </w:pPr>
            <w:r w:rsidRPr="00C93F88">
              <w:rPr>
                <w:rFonts w:ascii="Times New Roman" w:eastAsia="Times New Roman" w:hAnsi="Times New Roman" w:cs="Times New Roman"/>
                <w:b/>
                <w:color w:val="000000"/>
                <w:szCs w:val="24"/>
                <w:lang w:val="en-US"/>
              </w:rPr>
              <w:t xml:space="preserve"> Value in USD’ Million </w:t>
            </w:r>
          </w:p>
        </w:tc>
        <w:tc>
          <w:tcPr>
            <w:tcW w:w="736" w:type="pct"/>
            <w:hideMark/>
          </w:tcPr>
          <w:p w14:paraId="04FDA16D" w14:textId="77777777" w:rsidR="002E6661" w:rsidRPr="00C93F88" w:rsidRDefault="002E6661" w:rsidP="00206D8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Cs w:val="24"/>
                <w:lang w:val="en-US"/>
              </w:rPr>
            </w:pPr>
            <w:r w:rsidRPr="00C93F88">
              <w:rPr>
                <w:rFonts w:ascii="Times New Roman" w:eastAsia="Times New Roman" w:hAnsi="Times New Roman" w:cs="Times New Roman"/>
                <w:b/>
                <w:color w:val="000000"/>
                <w:szCs w:val="24"/>
                <w:lang w:val="en-US"/>
              </w:rPr>
              <w:t>Percentage contribution to NTEs (%)</w:t>
            </w:r>
          </w:p>
        </w:tc>
        <w:tc>
          <w:tcPr>
            <w:tcW w:w="1289" w:type="pct"/>
            <w:hideMark/>
          </w:tcPr>
          <w:p w14:paraId="11268182" w14:textId="77777777" w:rsidR="002E6661" w:rsidRPr="00C93F88" w:rsidRDefault="002E6661" w:rsidP="00206D8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Cs w:val="24"/>
                <w:lang w:val="en-US"/>
              </w:rPr>
            </w:pPr>
            <w:r w:rsidRPr="00C93F88">
              <w:rPr>
                <w:rFonts w:ascii="Times New Roman" w:eastAsia="Times New Roman" w:hAnsi="Times New Roman" w:cs="Times New Roman"/>
                <w:b/>
                <w:color w:val="000000"/>
                <w:szCs w:val="24"/>
                <w:lang w:val="en-US"/>
              </w:rPr>
              <w:t>Product</w:t>
            </w:r>
          </w:p>
        </w:tc>
        <w:tc>
          <w:tcPr>
            <w:tcW w:w="507" w:type="pct"/>
            <w:hideMark/>
          </w:tcPr>
          <w:p w14:paraId="0D430077" w14:textId="77777777" w:rsidR="002E6661" w:rsidRPr="00C93F88" w:rsidRDefault="002E6661" w:rsidP="00206D8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Cs w:val="24"/>
                <w:lang w:val="en-US"/>
              </w:rPr>
            </w:pPr>
            <w:r w:rsidRPr="00C93F88">
              <w:rPr>
                <w:rFonts w:ascii="Times New Roman" w:eastAsia="Times New Roman" w:hAnsi="Times New Roman" w:cs="Times New Roman"/>
                <w:b/>
                <w:color w:val="000000"/>
                <w:szCs w:val="24"/>
                <w:lang w:val="en-US"/>
              </w:rPr>
              <w:t xml:space="preserve"> Value in USD’ Million </w:t>
            </w:r>
          </w:p>
        </w:tc>
        <w:tc>
          <w:tcPr>
            <w:tcW w:w="719" w:type="pct"/>
            <w:hideMark/>
          </w:tcPr>
          <w:p w14:paraId="5E759D76" w14:textId="77777777" w:rsidR="002E6661" w:rsidRPr="00C93F88" w:rsidRDefault="002E6661" w:rsidP="00206D8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Cs w:val="24"/>
                <w:lang w:val="en-US"/>
              </w:rPr>
            </w:pPr>
            <w:r w:rsidRPr="00C93F88">
              <w:rPr>
                <w:rFonts w:ascii="Times New Roman" w:eastAsia="Times New Roman" w:hAnsi="Times New Roman" w:cs="Times New Roman"/>
                <w:b/>
                <w:color w:val="000000"/>
                <w:szCs w:val="24"/>
                <w:lang w:val="en-US"/>
              </w:rPr>
              <w:t>Percentage contribution to NTEs (%)</w:t>
            </w:r>
          </w:p>
        </w:tc>
      </w:tr>
      <w:tr w:rsidR="002E6661" w:rsidRPr="00181760" w14:paraId="1808CCBF" w14:textId="77777777" w:rsidTr="00206D84">
        <w:trPr>
          <w:trHeight w:val="510"/>
        </w:trPr>
        <w:tc>
          <w:tcPr>
            <w:cnfStyle w:val="001000000000" w:firstRow="0" w:lastRow="0" w:firstColumn="1" w:lastColumn="0" w:oddVBand="0" w:evenVBand="0" w:oddHBand="0" w:evenHBand="0" w:firstRowFirstColumn="0" w:firstRowLastColumn="0" w:lastRowFirstColumn="0" w:lastRowLastColumn="0"/>
            <w:tcW w:w="287" w:type="pct"/>
            <w:noWrap/>
            <w:hideMark/>
          </w:tcPr>
          <w:p w14:paraId="204617B4" w14:textId="77777777" w:rsidR="002E6661" w:rsidRPr="00C93F88" w:rsidRDefault="002E6661" w:rsidP="00206D84">
            <w:pPr>
              <w:jc w:val="right"/>
              <w:rPr>
                <w:rFonts w:ascii="Times New Roman" w:eastAsia="Times New Roman" w:hAnsi="Times New Roman" w:cs="Times New Roman"/>
                <w:b w:val="0"/>
                <w:color w:val="000000"/>
                <w:szCs w:val="24"/>
                <w:lang w:val="en-US"/>
              </w:rPr>
            </w:pPr>
            <w:r w:rsidRPr="00C93F88">
              <w:rPr>
                <w:rFonts w:ascii="Times New Roman" w:eastAsia="Times New Roman" w:hAnsi="Times New Roman" w:cs="Times New Roman"/>
                <w:b w:val="0"/>
                <w:color w:val="000000"/>
                <w:szCs w:val="24"/>
                <w:lang w:val="en-US"/>
              </w:rPr>
              <w:t>1</w:t>
            </w:r>
          </w:p>
        </w:tc>
        <w:tc>
          <w:tcPr>
            <w:tcW w:w="954" w:type="pct"/>
            <w:hideMark/>
          </w:tcPr>
          <w:p w14:paraId="3C08174D" w14:textId="77777777" w:rsidR="002E6661" w:rsidRPr="00C93F88" w:rsidRDefault="002E6661" w:rsidP="00206D8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Other non-alcoholic beverages, NES</w:t>
            </w:r>
          </w:p>
        </w:tc>
        <w:tc>
          <w:tcPr>
            <w:tcW w:w="508" w:type="pct"/>
            <w:noWrap/>
            <w:hideMark/>
          </w:tcPr>
          <w:p w14:paraId="1D72C6AE" w14:textId="77777777" w:rsidR="002E6661" w:rsidRPr="00C93F88"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123.86</w:t>
            </w:r>
          </w:p>
        </w:tc>
        <w:tc>
          <w:tcPr>
            <w:tcW w:w="736" w:type="pct"/>
            <w:noWrap/>
            <w:hideMark/>
          </w:tcPr>
          <w:p w14:paraId="573CD5A7" w14:textId="77777777" w:rsidR="002E6661" w:rsidRPr="00C93F88"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3.52</w:t>
            </w:r>
          </w:p>
        </w:tc>
        <w:tc>
          <w:tcPr>
            <w:tcW w:w="1289" w:type="pct"/>
            <w:hideMark/>
          </w:tcPr>
          <w:p w14:paraId="53DD5CB4" w14:textId="77777777" w:rsidR="002E6661" w:rsidRPr="00C93F88" w:rsidRDefault="002E6661" w:rsidP="00206D8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Electrical energy</w:t>
            </w:r>
          </w:p>
        </w:tc>
        <w:tc>
          <w:tcPr>
            <w:tcW w:w="507" w:type="pct"/>
            <w:noWrap/>
            <w:hideMark/>
          </w:tcPr>
          <w:p w14:paraId="6E3A5AF3" w14:textId="77777777" w:rsidR="002E6661" w:rsidRPr="00C93F88"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331.68</w:t>
            </w:r>
          </w:p>
        </w:tc>
        <w:tc>
          <w:tcPr>
            <w:tcW w:w="719" w:type="pct"/>
            <w:noWrap/>
            <w:hideMark/>
          </w:tcPr>
          <w:p w14:paraId="4FC01C41" w14:textId="77777777" w:rsidR="002E6661" w:rsidRPr="00C93F88"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181760">
              <w:rPr>
                <w:rFonts w:ascii="Times New Roman" w:eastAsia="Times New Roman" w:hAnsi="Times New Roman" w:cs="Times New Roman"/>
                <w:color w:val="000000"/>
                <w:szCs w:val="24"/>
                <w:lang w:val="en-US"/>
              </w:rPr>
              <w:t>7.84</w:t>
            </w:r>
          </w:p>
        </w:tc>
      </w:tr>
      <w:tr w:rsidR="002E6661" w:rsidRPr="00181760" w14:paraId="3CCDBF2E" w14:textId="77777777" w:rsidTr="00206D84">
        <w:trPr>
          <w:trHeight w:val="863"/>
        </w:trPr>
        <w:tc>
          <w:tcPr>
            <w:cnfStyle w:val="001000000000" w:firstRow="0" w:lastRow="0" w:firstColumn="1" w:lastColumn="0" w:oddVBand="0" w:evenVBand="0" w:oddHBand="0" w:evenHBand="0" w:firstRowFirstColumn="0" w:firstRowLastColumn="0" w:lastRowFirstColumn="0" w:lastRowLastColumn="0"/>
            <w:tcW w:w="287" w:type="pct"/>
            <w:noWrap/>
            <w:hideMark/>
          </w:tcPr>
          <w:p w14:paraId="24A37AC7" w14:textId="77777777" w:rsidR="002E6661" w:rsidRPr="00C93F88" w:rsidRDefault="002E6661" w:rsidP="00206D84">
            <w:pPr>
              <w:jc w:val="right"/>
              <w:rPr>
                <w:rFonts w:ascii="Times New Roman" w:eastAsia="Times New Roman" w:hAnsi="Times New Roman" w:cs="Times New Roman"/>
                <w:b w:val="0"/>
                <w:color w:val="000000"/>
                <w:szCs w:val="24"/>
                <w:lang w:val="en-US"/>
              </w:rPr>
            </w:pPr>
            <w:r w:rsidRPr="00C93F88">
              <w:rPr>
                <w:rFonts w:ascii="Times New Roman" w:eastAsia="Times New Roman" w:hAnsi="Times New Roman" w:cs="Times New Roman"/>
                <w:b w:val="0"/>
                <w:color w:val="000000"/>
                <w:szCs w:val="24"/>
                <w:lang w:val="en-US"/>
              </w:rPr>
              <w:lastRenderedPageBreak/>
              <w:t>2</w:t>
            </w:r>
          </w:p>
        </w:tc>
        <w:tc>
          <w:tcPr>
            <w:tcW w:w="954" w:type="pct"/>
            <w:hideMark/>
          </w:tcPr>
          <w:p w14:paraId="2EA9F165" w14:textId="77777777" w:rsidR="002E6661" w:rsidRPr="00C93F88" w:rsidRDefault="002E6661" w:rsidP="00206D8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Ferro-silico-manganese</w:t>
            </w:r>
          </w:p>
        </w:tc>
        <w:tc>
          <w:tcPr>
            <w:tcW w:w="508" w:type="pct"/>
            <w:noWrap/>
            <w:hideMark/>
          </w:tcPr>
          <w:p w14:paraId="489E8602" w14:textId="77777777" w:rsidR="002E6661" w:rsidRPr="00C93F88"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122.91</w:t>
            </w:r>
          </w:p>
        </w:tc>
        <w:tc>
          <w:tcPr>
            <w:tcW w:w="736" w:type="pct"/>
            <w:noWrap/>
            <w:hideMark/>
          </w:tcPr>
          <w:p w14:paraId="0487DE29" w14:textId="77777777" w:rsidR="002E6661" w:rsidRPr="00C93F88"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3.49</w:t>
            </w:r>
          </w:p>
        </w:tc>
        <w:tc>
          <w:tcPr>
            <w:tcW w:w="1289" w:type="pct"/>
            <w:hideMark/>
          </w:tcPr>
          <w:p w14:paraId="6B627FCB" w14:textId="77777777" w:rsidR="002E6661" w:rsidRPr="00C93F88" w:rsidRDefault="002E6661" w:rsidP="00206D8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 xml:space="preserve">Sulphur of all kinds (excl. sublimed, precipitated and colloidal </w:t>
            </w:r>
            <w:proofErr w:type="spellStart"/>
            <w:r w:rsidRPr="00C93F88">
              <w:rPr>
                <w:rFonts w:ascii="Times New Roman" w:eastAsia="Times New Roman" w:hAnsi="Times New Roman" w:cs="Times New Roman"/>
                <w:color w:val="000000"/>
                <w:szCs w:val="24"/>
                <w:lang w:val="en-US"/>
              </w:rPr>
              <w:t>sulphur</w:t>
            </w:r>
            <w:proofErr w:type="spellEnd"/>
            <w:r w:rsidRPr="00C93F88">
              <w:rPr>
                <w:rFonts w:ascii="Times New Roman" w:eastAsia="Times New Roman" w:hAnsi="Times New Roman" w:cs="Times New Roman"/>
                <w:color w:val="000000"/>
                <w:szCs w:val="24"/>
                <w:lang w:val="en-US"/>
              </w:rPr>
              <w:t>)</w:t>
            </w:r>
          </w:p>
        </w:tc>
        <w:tc>
          <w:tcPr>
            <w:tcW w:w="507" w:type="pct"/>
            <w:noWrap/>
            <w:hideMark/>
          </w:tcPr>
          <w:p w14:paraId="3CCD71BA" w14:textId="77777777" w:rsidR="002E6661" w:rsidRPr="00C93F88"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296.40</w:t>
            </w:r>
          </w:p>
        </w:tc>
        <w:tc>
          <w:tcPr>
            <w:tcW w:w="719" w:type="pct"/>
            <w:noWrap/>
            <w:hideMark/>
          </w:tcPr>
          <w:p w14:paraId="3090C476" w14:textId="77777777" w:rsidR="002E6661" w:rsidRPr="00C93F88"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181760">
              <w:rPr>
                <w:rFonts w:ascii="Times New Roman" w:eastAsia="Times New Roman" w:hAnsi="Times New Roman" w:cs="Times New Roman"/>
                <w:color w:val="000000"/>
                <w:szCs w:val="24"/>
                <w:lang w:val="en-US"/>
              </w:rPr>
              <w:t>7.01</w:t>
            </w:r>
          </w:p>
        </w:tc>
      </w:tr>
      <w:tr w:rsidR="002E6661" w:rsidRPr="00181760" w14:paraId="6111F7D5" w14:textId="77777777" w:rsidTr="00206D84">
        <w:trPr>
          <w:trHeight w:val="510"/>
        </w:trPr>
        <w:tc>
          <w:tcPr>
            <w:cnfStyle w:val="001000000000" w:firstRow="0" w:lastRow="0" w:firstColumn="1" w:lastColumn="0" w:oddVBand="0" w:evenVBand="0" w:oddHBand="0" w:evenHBand="0" w:firstRowFirstColumn="0" w:firstRowLastColumn="0" w:lastRowFirstColumn="0" w:lastRowLastColumn="0"/>
            <w:tcW w:w="287" w:type="pct"/>
            <w:noWrap/>
            <w:hideMark/>
          </w:tcPr>
          <w:p w14:paraId="3C2C1929" w14:textId="77777777" w:rsidR="002E6661" w:rsidRPr="00C93F88" w:rsidRDefault="002E6661" w:rsidP="00206D84">
            <w:pPr>
              <w:jc w:val="right"/>
              <w:rPr>
                <w:rFonts w:ascii="Times New Roman" w:eastAsia="Times New Roman" w:hAnsi="Times New Roman" w:cs="Times New Roman"/>
                <w:b w:val="0"/>
                <w:color w:val="000000"/>
                <w:szCs w:val="24"/>
                <w:lang w:val="en-US"/>
              </w:rPr>
            </w:pPr>
            <w:r w:rsidRPr="00C93F88">
              <w:rPr>
                <w:rFonts w:ascii="Times New Roman" w:eastAsia="Times New Roman" w:hAnsi="Times New Roman" w:cs="Times New Roman"/>
                <w:b w:val="0"/>
                <w:color w:val="000000"/>
                <w:szCs w:val="24"/>
                <w:lang w:val="en-US"/>
              </w:rPr>
              <w:t>3</w:t>
            </w:r>
          </w:p>
        </w:tc>
        <w:tc>
          <w:tcPr>
            <w:tcW w:w="954" w:type="pct"/>
            <w:hideMark/>
          </w:tcPr>
          <w:p w14:paraId="02CDFE62" w14:textId="77777777" w:rsidR="002E6661" w:rsidRPr="00C93F88" w:rsidRDefault="002E6661" w:rsidP="00206D8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 xml:space="preserve">Portland cement </w:t>
            </w:r>
          </w:p>
        </w:tc>
        <w:tc>
          <w:tcPr>
            <w:tcW w:w="508" w:type="pct"/>
            <w:noWrap/>
            <w:hideMark/>
          </w:tcPr>
          <w:p w14:paraId="33A4A9D4" w14:textId="77777777" w:rsidR="002E6661" w:rsidRPr="00C93F88"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117.65</w:t>
            </w:r>
          </w:p>
        </w:tc>
        <w:tc>
          <w:tcPr>
            <w:tcW w:w="736" w:type="pct"/>
            <w:noWrap/>
            <w:hideMark/>
          </w:tcPr>
          <w:p w14:paraId="4F13F4A5" w14:textId="77777777" w:rsidR="002E6661" w:rsidRPr="00C93F88"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4.84</w:t>
            </w:r>
          </w:p>
        </w:tc>
        <w:tc>
          <w:tcPr>
            <w:tcW w:w="1289" w:type="pct"/>
            <w:hideMark/>
          </w:tcPr>
          <w:p w14:paraId="4B9D4B7C" w14:textId="77777777" w:rsidR="002E6661" w:rsidRPr="00C93F88" w:rsidRDefault="002E6661" w:rsidP="00206D8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Dumpers for off-highway use</w:t>
            </w:r>
          </w:p>
        </w:tc>
        <w:tc>
          <w:tcPr>
            <w:tcW w:w="507" w:type="pct"/>
            <w:noWrap/>
            <w:hideMark/>
          </w:tcPr>
          <w:p w14:paraId="6C65C350" w14:textId="77777777" w:rsidR="002E6661" w:rsidRPr="00C93F88"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164.38</w:t>
            </w:r>
          </w:p>
        </w:tc>
        <w:tc>
          <w:tcPr>
            <w:tcW w:w="719" w:type="pct"/>
            <w:noWrap/>
            <w:hideMark/>
          </w:tcPr>
          <w:p w14:paraId="1702CA27" w14:textId="77777777" w:rsidR="002E6661" w:rsidRPr="00C93F88"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181760">
              <w:rPr>
                <w:rFonts w:ascii="Times New Roman" w:eastAsia="Times New Roman" w:hAnsi="Times New Roman" w:cs="Times New Roman"/>
                <w:color w:val="000000"/>
                <w:szCs w:val="24"/>
                <w:lang w:val="en-US"/>
              </w:rPr>
              <w:t>3.88</w:t>
            </w:r>
          </w:p>
        </w:tc>
      </w:tr>
      <w:tr w:rsidR="002E6661" w:rsidRPr="00181760" w14:paraId="258B85B3" w14:textId="77777777" w:rsidTr="00206D84">
        <w:trPr>
          <w:trHeight w:val="255"/>
        </w:trPr>
        <w:tc>
          <w:tcPr>
            <w:cnfStyle w:val="001000000000" w:firstRow="0" w:lastRow="0" w:firstColumn="1" w:lastColumn="0" w:oddVBand="0" w:evenVBand="0" w:oddHBand="0" w:evenHBand="0" w:firstRowFirstColumn="0" w:firstRowLastColumn="0" w:lastRowFirstColumn="0" w:lastRowLastColumn="0"/>
            <w:tcW w:w="287" w:type="pct"/>
            <w:noWrap/>
            <w:hideMark/>
          </w:tcPr>
          <w:p w14:paraId="095D9307" w14:textId="77777777" w:rsidR="002E6661" w:rsidRPr="00C93F88" w:rsidRDefault="002E6661" w:rsidP="00206D84">
            <w:pPr>
              <w:jc w:val="right"/>
              <w:rPr>
                <w:rFonts w:ascii="Times New Roman" w:eastAsia="Times New Roman" w:hAnsi="Times New Roman" w:cs="Times New Roman"/>
                <w:b w:val="0"/>
                <w:color w:val="000000"/>
                <w:szCs w:val="24"/>
                <w:lang w:val="en-US"/>
              </w:rPr>
            </w:pPr>
            <w:r w:rsidRPr="00C93F88">
              <w:rPr>
                <w:rFonts w:ascii="Times New Roman" w:eastAsia="Times New Roman" w:hAnsi="Times New Roman" w:cs="Times New Roman"/>
                <w:b w:val="0"/>
                <w:color w:val="000000"/>
                <w:szCs w:val="24"/>
                <w:lang w:val="en-US"/>
              </w:rPr>
              <w:t>4</w:t>
            </w:r>
          </w:p>
        </w:tc>
        <w:tc>
          <w:tcPr>
            <w:tcW w:w="954" w:type="pct"/>
            <w:hideMark/>
          </w:tcPr>
          <w:p w14:paraId="65DE358E" w14:textId="77777777" w:rsidR="002E6661" w:rsidRPr="00C93F88" w:rsidRDefault="002E6661" w:rsidP="00206D8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Electrical energy</w:t>
            </w:r>
          </w:p>
        </w:tc>
        <w:tc>
          <w:tcPr>
            <w:tcW w:w="508" w:type="pct"/>
            <w:noWrap/>
            <w:hideMark/>
          </w:tcPr>
          <w:p w14:paraId="18B96367" w14:textId="77777777" w:rsidR="002E6661" w:rsidRPr="00C93F88"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113.73</w:t>
            </w:r>
          </w:p>
        </w:tc>
        <w:tc>
          <w:tcPr>
            <w:tcW w:w="736" w:type="pct"/>
            <w:noWrap/>
            <w:hideMark/>
          </w:tcPr>
          <w:p w14:paraId="1B271F97" w14:textId="77777777" w:rsidR="002E6661" w:rsidRPr="00C93F88"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3.84</w:t>
            </w:r>
          </w:p>
        </w:tc>
        <w:tc>
          <w:tcPr>
            <w:tcW w:w="1289" w:type="pct"/>
            <w:hideMark/>
          </w:tcPr>
          <w:p w14:paraId="46F3AE09" w14:textId="77777777" w:rsidR="002E6661" w:rsidRPr="00C93F88" w:rsidRDefault="002E6661" w:rsidP="00206D8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Pr>
                <w:rFonts w:ascii="Times New Roman" w:eastAsia="Times New Roman" w:hAnsi="Times New Roman" w:cs="Times New Roman"/>
                <w:color w:val="000000"/>
                <w:szCs w:val="24"/>
                <w:lang w:val="en-US"/>
              </w:rPr>
              <w:t>Gas oils</w:t>
            </w:r>
          </w:p>
        </w:tc>
        <w:tc>
          <w:tcPr>
            <w:tcW w:w="507" w:type="pct"/>
            <w:noWrap/>
            <w:hideMark/>
          </w:tcPr>
          <w:p w14:paraId="0D68625E" w14:textId="77777777" w:rsidR="002E6661" w:rsidRPr="00C93F88"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123.89</w:t>
            </w:r>
          </w:p>
        </w:tc>
        <w:tc>
          <w:tcPr>
            <w:tcW w:w="719" w:type="pct"/>
            <w:noWrap/>
            <w:hideMark/>
          </w:tcPr>
          <w:p w14:paraId="7892747B" w14:textId="77777777" w:rsidR="002E6661" w:rsidRPr="00C93F88"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181760">
              <w:rPr>
                <w:rFonts w:ascii="Times New Roman" w:eastAsia="Times New Roman" w:hAnsi="Times New Roman" w:cs="Times New Roman"/>
                <w:color w:val="000000"/>
                <w:szCs w:val="24"/>
                <w:lang w:val="en-US"/>
              </w:rPr>
              <w:t>2.93</w:t>
            </w:r>
          </w:p>
        </w:tc>
      </w:tr>
      <w:tr w:rsidR="002E6661" w:rsidRPr="00181760" w14:paraId="6D89EDCC" w14:textId="77777777" w:rsidTr="00206D84">
        <w:trPr>
          <w:trHeight w:val="510"/>
        </w:trPr>
        <w:tc>
          <w:tcPr>
            <w:cnfStyle w:val="001000000000" w:firstRow="0" w:lastRow="0" w:firstColumn="1" w:lastColumn="0" w:oddVBand="0" w:evenVBand="0" w:oddHBand="0" w:evenHBand="0" w:firstRowFirstColumn="0" w:firstRowLastColumn="0" w:lastRowFirstColumn="0" w:lastRowLastColumn="0"/>
            <w:tcW w:w="287" w:type="pct"/>
            <w:noWrap/>
            <w:hideMark/>
          </w:tcPr>
          <w:p w14:paraId="7494F6F8" w14:textId="77777777" w:rsidR="002E6661" w:rsidRPr="00C93F88" w:rsidRDefault="002E6661" w:rsidP="00206D84">
            <w:pPr>
              <w:jc w:val="right"/>
              <w:rPr>
                <w:rFonts w:ascii="Times New Roman" w:eastAsia="Times New Roman" w:hAnsi="Times New Roman" w:cs="Times New Roman"/>
                <w:b w:val="0"/>
                <w:color w:val="000000"/>
                <w:szCs w:val="24"/>
                <w:lang w:val="en-US"/>
              </w:rPr>
            </w:pPr>
            <w:r w:rsidRPr="00C93F88">
              <w:rPr>
                <w:rFonts w:ascii="Times New Roman" w:eastAsia="Times New Roman" w:hAnsi="Times New Roman" w:cs="Times New Roman"/>
                <w:b w:val="0"/>
                <w:color w:val="000000"/>
                <w:szCs w:val="24"/>
                <w:lang w:val="en-US"/>
              </w:rPr>
              <w:t>5</w:t>
            </w:r>
          </w:p>
        </w:tc>
        <w:tc>
          <w:tcPr>
            <w:tcW w:w="954" w:type="pct"/>
            <w:hideMark/>
          </w:tcPr>
          <w:p w14:paraId="11D38B39" w14:textId="77777777" w:rsidR="002E6661" w:rsidRPr="00C93F88" w:rsidRDefault="002E6661" w:rsidP="00206D8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 xml:space="preserve">Sulphur of all kinds </w:t>
            </w:r>
          </w:p>
        </w:tc>
        <w:tc>
          <w:tcPr>
            <w:tcW w:w="508" w:type="pct"/>
            <w:noWrap/>
            <w:hideMark/>
          </w:tcPr>
          <w:p w14:paraId="7B90B862" w14:textId="77777777" w:rsidR="002E6661" w:rsidRPr="00C93F88"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108.78</w:t>
            </w:r>
          </w:p>
        </w:tc>
        <w:tc>
          <w:tcPr>
            <w:tcW w:w="736" w:type="pct"/>
            <w:noWrap/>
            <w:hideMark/>
          </w:tcPr>
          <w:p w14:paraId="79FE8E05" w14:textId="77777777" w:rsidR="002E6661" w:rsidRPr="00C93F88"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3.38</w:t>
            </w:r>
          </w:p>
        </w:tc>
        <w:tc>
          <w:tcPr>
            <w:tcW w:w="1289" w:type="pct"/>
            <w:hideMark/>
          </w:tcPr>
          <w:p w14:paraId="359B50ED" w14:textId="77777777" w:rsidR="002E6661" w:rsidRPr="00C93F88" w:rsidRDefault="002E6661" w:rsidP="00206D8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Nickel ores and concentrates</w:t>
            </w:r>
          </w:p>
        </w:tc>
        <w:tc>
          <w:tcPr>
            <w:tcW w:w="507" w:type="pct"/>
            <w:noWrap/>
            <w:hideMark/>
          </w:tcPr>
          <w:p w14:paraId="227C585C" w14:textId="77777777" w:rsidR="002E6661" w:rsidRPr="00C93F88"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115.69</w:t>
            </w:r>
          </w:p>
        </w:tc>
        <w:tc>
          <w:tcPr>
            <w:tcW w:w="719" w:type="pct"/>
            <w:noWrap/>
            <w:hideMark/>
          </w:tcPr>
          <w:p w14:paraId="1756871C" w14:textId="77777777" w:rsidR="002E6661" w:rsidRPr="00C93F88"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181760">
              <w:rPr>
                <w:rFonts w:ascii="Times New Roman" w:eastAsia="Times New Roman" w:hAnsi="Times New Roman" w:cs="Times New Roman"/>
                <w:color w:val="000000"/>
                <w:szCs w:val="24"/>
                <w:lang w:val="en-US"/>
              </w:rPr>
              <w:t>2.73</w:t>
            </w:r>
          </w:p>
        </w:tc>
      </w:tr>
      <w:tr w:rsidR="002E6661" w:rsidRPr="00181760" w14:paraId="5AC310A7" w14:textId="77777777" w:rsidTr="00206D84">
        <w:trPr>
          <w:trHeight w:val="575"/>
        </w:trPr>
        <w:tc>
          <w:tcPr>
            <w:cnfStyle w:val="001000000000" w:firstRow="0" w:lastRow="0" w:firstColumn="1" w:lastColumn="0" w:oddVBand="0" w:evenVBand="0" w:oddHBand="0" w:evenHBand="0" w:firstRowFirstColumn="0" w:firstRowLastColumn="0" w:lastRowFirstColumn="0" w:lastRowLastColumn="0"/>
            <w:tcW w:w="287" w:type="pct"/>
            <w:noWrap/>
            <w:hideMark/>
          </w:tcPr>
          <w:p w14:paraId="5F74A6E4" w14:textId="77777777" w:rsidR="002E6661" w:rsidRPr="00C93F88" w:rsidRDefault="002E6661" w:rsidP="00206D84">
            <w:pPr>
              <w:jc w:val="right"/>
              <w:rPr>
                <w:rFonts w:ascii="Times New Roman" w:eastAsia="Times New Roman" w:hAnsi="Times New Roman" w:cs="Times New Roman"/>
                <w:b w:val="0"/>
                <w:color w:val="000000"/>
                <w:szCs w:val="24"/>
                <w:lang w:val="en-US"/>
              </w:rPr>
            </w:pPr>
            <w:r w:rsidRPr="00C93F88">
              <w:rPr>
                <w:rFonts w:ascii="Times New Roman" w:eastAsia="Times New Roman" w:hAnsi="Times New Roman" w:cs="Times New Roman"/>
                <w:b w:val="0"/>
                <w:color w:val="000000"/>
                <w:szCs w:val="24"/>
                <w:lang w:val="en-US"/>
              </w:rPr>
              <w:t>6</w:t>
            </w:r>
          </w:p>
        </w:tc>
        <w:tc>
          <w:tcPr>
            <w:tcW w:w="954" w:type="pct"/>
            <w:hideMark/>
          </w:tcPr>
          <w:p w14:paraId="1933555E" w14:textId="77777777" w:rsidR="002E6661" w:rsidRPr="00C93F88" w:rsidRDefault="002E6661" w:rsidP="00206D8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Rubies, sapphires and emeralds</w:t>
            </w:r>
          </w:p>
        </w:tc>
        <w:tc>
          <w:tcPr>
            <w:tcW w:w="508" w:type="pct"/>
            <w:noWrap/>
            <w:hideMark/>
          </w:tcPr>
          <w:p w14:paraId="615EB723" w14:textId="77777777" w:rsidR="002E6661" w:rsidRPr="00C93F88"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96.57</w:t>
            </w:r>
          </w:p>
        </w:tc>
        <w:tc>
          <w:tcPr>
            <w:tcW w:w="736" w:type="pct"/>
            <w:noWrap/>
            <w:hideMark/>
          </w:tcPr>
          <w:p w14:paraId="09A49834" w14:textId="77777777" w:rsidR="002E6661" w:rsidRPr="00C93F88"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3.23</w:t>
            </w:r>
          </w:p>
        </w:tc>
        <w:tc>
          <w:tcPr>
            <w:tcW w:w="1289" w:type="pct"/>
            <w:hideMark/>
          </w:tcPr>
          <w:p w14:paraId="0A6FB83E" w14:textId="77777777" w:rsidR="002E6661" w:rsidRPr="00C93F88" w:rsidRDefault="002E6661" w:rsidP="00206D8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Tobacco, partly or wholly stemmed/stripped</w:t>
            </w:r>
          </w:p>
        </w:tc>
        <w:tc>
          <w:tcPr>
            <w:tcW w:w="507" w:type="pct"/>
            <w:noWrap/>
            <w:hideMark/>
          </w:tcPr>
          <w:p w14:paraId="7AFBE295" w14:textId="77777777" w:rsidR="002E6661" w:rsidRPr="00C93F88"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112.95</w:t>
            </w:r>
          </w:p>
        </w:tc>
        <w:tc>
          <w:tcPr>
            <w:tcW w:w="719" w:type="pct"/>
            <w:noWrap/>
            <w:hideMark/>
          </w:tcPr>
          <w:p w14:paraId="2C3079F2" w14:textId="77777777" w:rsidR="002E6661" w:rsidRPr="00C93F88"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181760">
              <w:rPr>
                <w:rFonts w:ascii="Times New Roman" w:eastAsia="Times New Roman" w:hAnsi="Times New Roman" w:cs="Times New Roman"/>
                <w:color w:val="000000"/>
                <w:szCs w:val="24"/>
                <w:lang w:val="en-US"/>
              </w:rPr>
              <w:t>2.67</w:t>
            </w:r>
          </w:p>
        </w:tc>
      </w:tr>
      <w:tr w:rsidR="002E6661" w:rsidRPr="00181760" w14:paraId="547F2555" w14:textId="77777777" w:rsidTr="00206D84">
        <w:trPr>
          <w:trHeight w:val="765"/>
        </w:trPr>
        <w:tc>
          <w:tcPr>
            <w:cnfStyle w:val="001000000000" w:firstRow="0" w:lastRow="0" w:firstColumn="1" w:lastColumn="0" w:oddVBand="0" w:evenVBand="0" w:oddHBand="0" w:evenHBand="0" w:firstRowFirstColumn="0" w:firstRowLastColumn="0" w:lastRowFirstColumn="0" w:lastRowLastColumn="0"/>
            <w:tcW w:w="287" w:type="pct"/>
            <w:noWrap/>
            <w:hideMark/>
          </w:tcPr>
          <w:p w14:paraId="0862CB69" w14:textId="77777777" w:rsidR="002E6661" w:rsidRPr="00C93F88" w:rsidRDefault="002E6661" w:rsidP="00206D84">
            <w:pPr>
              <w:jc w:val="right"/>
              <w:rPr>
                <w:rFonts w:ascii="Times New Roman" w:eastAsia="Times New Roman" w:hAnsi="Times New Roman" w:cs="Times New Roman"/>
                <w:b w:val="0"/>
                <w:color w:val="000000"/>
                <w:szCs w:val="24"/>
                <w:lang w:val="en-US"/>
              </w:rPr>
            </w:pPr>
            <w:r w:rsidRPr="00C93F88">
              <w:rPr>
                <w:rFonts w:ascii="Times New Roman" w:eastAsia="Times New Roman" w:hAnsi="Times New Roman" w:cs="Times New Roman"/>
                <w:b w:val="0"/>
                <w:color w:val="000000"/>
                <w:szCs w:val="24"/>
                <w:lang w:val="en-US"/>
              </w:rPr>
              <w:t>7</w:t>
            </w:r>
          </w:p>
        </w:tc>
        <w:tc>
          <w:tcPr>
            <w:tcW w:w="954" w:type="pct"/>
            <w:hideMark/>
          </w:tcPr>
          <w:p w14:paraId="51222E78" w14:textId="77777777" w:rsidR="002E6661" w:rsidRPr="00C93F88" w:rsidRDefault="002E6661" w:rsidP="00206D8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Oil-cake and other solid residues, of soya-bean</w:t>
            </w:r>
          </w:p>
        </w:tc>
        <w:tc>
          <w:tcPr>
            <w:tcW w:w="508" w:type="pct"/>
            <w:noWrap/>
            <w:hideMark/>
          </w:tcPr>
          <w:p w14:paraId="275D9BB2" w14:textId="77777777" w:rsidR="002E6661" w:rsidRPr="00C93F88"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85.52</w:t>
            </w:r>
          </w:p>
        </w:tc>
        <w:tc>
          <w:tcPr>
            <w:tcW w:w="736" w:type="pct"/>
            <w:noWrap/>
            <w:hideMark/>
          </w:tcPr>
          <w:p w14:paraId="4D2AB6EF" w14:textId="77777777" w:rsidR="002E6661" w:rsidRPr="00C93F88"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3.06</w:t>
            </w:r>
          </w:p>
        </w:tc>
        <w:tc>
          <w:tcPr>
            <w:tcW w:w="1289" w:type="pct"/>
            <w:hideMark/>
          </w:tcPr>
          <w:p w14:paraId="7AB8BC4C" w14:textId="77777777" w:rsidR="002E6661" w:rsidRPr="00C93F88" w:rsidRDefault="002E6661" w:rsidP="00206D8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Other raw cane sugar</w:t>
            </w:r>
          </w:p>
        </w:tc>
        <w:tc>
          <w:tcPr>
            <w:tcW w:w="507" w:type="pct"/>
            <w:noWrap/>
            <w:hideMark/>
          </w:tcPr>
          <w:p w14:paraId="1C1CA8C5" w14:textId="77777777" w:rsidR="002E6661" w:rsidRPr="00C93F88"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108.92</w:t>
            </w:r>
          </w:p>
        </w:tc>
        <w:tc>
          <w:tcPr>
            <w:tcW w:w="719" w:type="pct"/>
            <w:noWrap/>
            <w:hideMark/>
          </w:tcPr>
          <w:p w14:paraId="12835C78" w14:textId="77777777" w:rsidR="002E6661" w:rsidRPr="00C93F88"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181760">
              <w:rPr>
                <w:rFonts w:ascii="Times New Roman" w:eastAsia="Times New Roman" w:hAnsi="Times New Roman" w:cs="Times New Roman"/>
                <w:color w:val="000000"/>
                <w:szCs w:val="24"/>
                <w:lang w:val="en-US"/>
              </w:rPr>
              <w:t>2.57</w:t>
            </w:r>
          </w:p>
        </w:tc>
      </w:tr>
      <w:tr w:rsidR="002E6661" w:rsidRPr="00181760" w14:paraId="71CAF51F" w14:textId="77777777" w:rsidTr="00206D84">
        <w:trPr>
          <w:trHeight w:val="510"/>
        </w:trPr>
        <w:tc>
          <w:tcPr>
            <w:cnfStyle w:val="001000000000" w:firstRow="0" w:lastRow="0" w:firstColumn="1" w:lastColumn="0" w:oddVBand="0" w:evenVBand="0" w:oddHBand="0" w:evenHBand="0" w:firstRowFirstColumn="0" w:firstRowLastColumn="0" w:lastRowFirstColumn="0" w:lastRowLastColumn="0"/>
            <w:tcW w:w="287" w:type="pct"/>
            <w:noWrap/>
            <w:hideMark/>
          </w:tcPr>
          <w:p w14:paraId="2CC8217F" w14:textId="77777777" w:rsidR="002E6661" w:rsidRPr="00C93F88" w:rsidRDefault="002E6661" w:rsidP="00206D84">
            <w:pPr>
              <w:jc w:val="right"/>
              <w:rPr>
                <w:rFonts w:ascii="Times New Roman" w:eastAsia="Times New Roman" w:hAnsi="Times New Roman" w:cs="Times New Roman"/>
                <w:b w:val="0"/>
                <w:color w:val="000000"/>
                <w:szCs w:val="24"/>
                <w:lang w:val="en-US"/>
              </w:rPr>
            </w:pPr>
            <w:r w:rsidRPr="00C93F88">
              <w:rPr>
                <w:rFonts w:ascii="Times New Roman" w:eastAsia="Times New Roman" w:hAnsi="Times New Roman" w:cs="Times New Roman"/>
                <w:b w:val="0"/>
                <w:color w:val="000000"/>
                <w:szCs w:val="24"/>
                <w:lang w:val="en-US"/>
              </w:rPr>
              <w:t>8</w:t>
            </w:r>
          </w:p>
        </w:tc>
        <w:tc>
          <w:tcPr>
            <w:tcW w:w="954" w:type="pct"/>
            <w:hideMark/>
          </w:tcPr>
          <w:p w14:paraId="14B9C308" w14:textId="77777777" w:rsidR="002E6661" w:rsidRPr="00C93F88" w:rsidRDefault="002E6661" w:rsidP="00206D8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Nickel ores and concentrates</w:t>
            </w:r>
          </w:p>
        </w:tc>
        <w:tc>
          <w:tcPr>
            <w:tcW w:w="508" w:type="pct"/>
            <w:noWrap/>
            <w:hideMark/>
          </w:tcPr>
          <w:p w14:paraId="357BBEBB" w14:textId="77777777" w:rsidR="002E6661" w:rsidRPr="00C93F88"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82.23</w:t>
            </w:r>
          </w:p>
        </w:tc>
        <w:tc>
          <w:tcPr>
            <w:tcW w:w="736" w:type="pct"/>
            <w:noWrap/>
            <w:hideMark/>
          </w:tcPr>
          <w:p w14:paraId="6750E7F2" w14:textId="77777777" w:rsidR="002E6661" w:rsidRPr="00C93F88"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2.91</w:t>
            </w:r>
          </w:p>
        </w:tc>
        <w:tc>
          <w:tcPr>
            <w:tcW w:w="1289" w:type="pct"/>
            <w:hideMark/>
          </w:tcPr>
          <w:p w14:paraId="25DF0ADA" w14:textId="77777777" w:rsidR="002E6661" w:rsidRPr="00C93F88" w:rsidRDefault="002E6661" w:rsidP="00206D8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Oil-cake and other solid residues, of soya-bean</w:t>
            </w:r>
          </w:p>
        </w:tc>
        <w:tc>
          <w:tcPr>
            <w:tcW w:w="507" w:type="pct"/>
            <w:noWrap/>
            <w:hideMark/>
          </w:tcPr>
          <w:p w14:paraId="78B02229" w14:textId="77777777" w:rsidR="002E6661" w:rsidRPr="00C93F88"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106.77</w:t>
            </w:r>
          </w:p>
        </w:tc>
        <w:tc>
          <w:tcPr>
            <w:tcW w:w="719" w:type="pct"/>
            <w:noWrap/>
            <w:hideMark/>
          </w:tcPr>
          <w:p w14:paraId="181B7E5A" w14:textId="77777777" w:rsidR="002E6661" w:rsidRPr="00C93F88"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181760">
              <w:rPr>
                <w:rFonts w:ascii="Times New Roman" w:eastAsia="Times New Roman" w:hAnsi="Times New Roman" w:cs="Times New Roman"/>
                <w:color w:val="000000"/>
                <w:szCs w:val="24"/>
                <w:lang w:val="en-US"/>
              </w:rPr>
              <w:t>2.52</w:t>
            </w:r>
          </w:p>
        </w:tc>
      </w:tr>
      <w:tr w:rsidR="002E6661" w:rsidRPr="00181760" w14:paraId="529C24ED" w14:textId="77777777" w:rsidTr="00206D84">
        <w:trPr>
          <w:trHeight w:val="510"/>
        </w:trPr>
        <w:tc>
          <w:tcPr>
            <w:cnfStyle w:val="001000000000" w:firstRow="0" w:lastRow="0" w:firstColumn="1" w:lastColumn="0" w:oddVBand="0" w:evenVBand="0" w:oddHBand="0" w:evenHBand="0" w:firstRowFirstColumn="0" w:firstRowLastColumn="0" w:lastRowFirstColumn="0" w:lastRowLastColumn="0"/>
            <w:tcW w:w="287" w:type="pct"/>
            <w:noWrap/>
            <w:hideMark/>
          </w:tcPr>
          <w:p w14:paraId="122A8978" w14:textId="77777777" w:rsidR="002E6661" w:rsidRPr="00C93F88" w:rsidRDefault="002E6661" w:rsidP="00206D84">
            <w:pPr>
              <w:jc w:val="right"/>
              <w:rPr>
                <w:rFonts w:ascii="Times New Roman" w:eastAsia="Times New Roman" w:hAnsi="Times New Roman" w:cs="Times New Roman"/>
                <w:b w:val="0"/>
                <w:color w:val="000000"/>
                <w:szCs w:val="24"/>
                <w:lang w:val="en-US"/>
              </w:rPr>
            </w:pPr>
            <w:r w:rsidRPr="00C93F88">
              <w:rPr>
                <w:rFonts w:ascii="Times New Roman" w:eastAsia="Times New Roman" w:hAnsi="Times New Roman" w:cs="Times New Roman"/>
                <w:b w:val="0"/>
                <w:color w:val="000000"/>
                <w:szCs w:val="24"/>
                <w:lang w:val="en-US"/>
              </w:rPr>
              <w:t>9</w:t>
            </w:r>
          </w:p>
        </w:tc>
        <w:tc>
          <w:tcPr>
            <w:tcW w:w="954" w:type="pct"/>
            <w:hideMark/>
          </w:tcPr>
          <w:p w14:paraId="04E886F5" w14:textId="77777777" w:rsidR="002E6661" w:rsidRPr="00C93F88" w:rsidRDefault="002E6661" w:rsidP="00206D8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 xml:space="preserve">Tobacco </w:t>
            </w:r>
          </w:p>
        </w:tc>
        <w:tc>
          <w:tcPr>
            <w:tcW w:w="508" w:type="pct"/>
            <w:noWrap/>
            <w:hideMark/>
          </w:tcPr>
          <w:p w14:paraId="678E079E" w14:textId="77777777" w:rsidR="002E6661" w:rsidRPr="00C93F88"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77.14</w:t>
            </w:r>
          </w:p>
        </w:tc>
        <w:tc>
          <w:tcPr>
            <w:tcW w:w="736" w:type="pct"/>
            <w:noWrap/>
            <w:hideMark/>
          </w:tcPr>
          <w:p w14:paraId="4EC73574" w14:textId="77777777" w:rsidR="002E6661" w:rsidRPr="00C93F88"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2.41</w:t>
            </w:r>
          </w:p>
        </w:tc>
        <w:tc>
          <w:tcPr>
            <w:tcW w:w="1289" w:type="pct"/>
            <w:hideMark/>
          </w:tcPr>
          <w:p w14:paraId="4B5A830C" w14:textId="77777777" w:rsidR="002E6661" w:rsidRPr="00C93F88" w:rsidRDefault="002E6661" w:rsidP="00206D8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Portland cement (excl. white)</w:t>
            </w:r>
          </w:p>
        </w:tc>
        <w:tc>
          <w:tcPr>
            <w:tcW w:w="507" w:type="pct"/>
            <w:noWrap/>
            <w:hideMark/>
          </w:tcPr>
          <w:p w14:paraId="6A625061" w14:textId="77777777" w:rsidR="002E6661" w:rsidRPr="00C93F88"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97.72</w:t>
            </w:r>
          </w:p>
        </w:tc>
        <w:tc>
          <w:tcPr>
            <w:tcW w:w="719" w:type="pct"/>
            <w:noWrap/>
            <w:hideMark/>
          </w:tcPr>
          <w:p w14:paraId="58B27E17" w14:textId="77777777" w:rsidR="002E6661" w:rsidRPr="00C93F88"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181760">
              <w:rPr>
                <w:rFonts w:ascii="Times New Roman" w:eastAsia="Times New Roman" w:hAnsi="Times New Roman" w:cs="Times New Roman"/>
                <w:color w:val="000000"/>
                <w:szCs w:val="24"/>
                <w:lang w:val="en-US"/>
              </w:rPr>
              <w:t>2.31</w:t>
            </w:r>
          </w:p>
        </w:tc>
      </w:tr>
      <w:tr w:rsidR="002E6661" w:rsidRPr="00181760" w14:paraId="40F31F88" w14:textId="77777777" w:rsidTr="00206D84">
        <w:trPr>
          <w:trHeight w:val="510"/>
        </w:trPr>
        <w:tc>
          <w:tcPr>
            <w:cnfStyle w:val="001000000000" w:firstRow="0" w:lastRow="0" w:firstColumn="1" w:lastColumn="0" w:oddVBand="0" w:evenVBand="0" w:oddHBand="0" w:evenHBand="0" w:firstRowFirstColumn="0" w:firstRowLastColumn="0" w:lastRowFirstColumn="0" w:lastRowLastColumn="0"/>
            <w:tcW w:w="287" w:type="pct"/>
            <w:noWrap/>
            <w:hideMark/>
          </w:tcPr>
          <w:p w14:paraId="4B417981" w14:textId="77777777" w:rsidR="002E6661" w:rsidRPr="00C93F88" w:rsidRDefault="002E6661" w:rsidP="00206D84">
            <w:pPr>
              <w:jc w:val="right"/>
              <w:rPr>
                <w:rFonts w:ascii="Times New Roman" w:eastAsia="Times New Roman" w:hAnsi="Times New Roman" w:cs="Times New Roman"/>
                <w:b w:val="0"/>
                <w:color w:val="000000"/>
                <w:szCs w:val="24"/>
                <w:lang w:val="en-US"/>
              </w:rPr>
            </w:pPr>
            <w:r w:rsidRPr="00C93F88">
              <w:rPr>
                <w:rFonts w:ascii="Times New Roman" w:eastAsia="Times New Roman" w:hAnsi="Times New Roman" w:cs="Times New Roman"/>
                <w:b w:val="0"/>
                <w:color w:val="000000"/>
                <w:szCs w:val="24"/>
                <w:lang w:val="en-US"/>
              </w:rPr>
              <w:t>10</w:t>
            </w:r>
          </w:p>
        </w:tc>
        <w:tc>
          <w:tcPr>
            <w:tcW w:w="954" w:type="pct"/>
            <w:hideMark/>
          </w:tcPr>
          <w:p w14:paraId="29DF28CD" w14:textId="77777777" w:rsidR="002E6661" w:rsidRPr="00C93F88" w:rsidRDefault="002E6661" w:rsidP="00206D8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Wire of refined copper</w:t>
            </w:r>
          </w:p>
        </w:tc>
        <w:tc>
          <w:tcPr>
            <w:tcW w:w="508" w:type="pct"/>
            <w:noWrap/>
            <w:hideMark/>
          </w:tcPr>
          <w:p w14:paraId="712CF944" w14:textId="77777777" w:rsidR="002E6661" w:rsidRPr="00C93F88"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74.96</w:t>
            </w:r>
          </w:p>
        </w:tc>
        <w:tc>
          <w:tcPr>
            <w:tcW w:w="736" w:type="pct"/>
            <w:noWrap/>
            <w:hideMark/>
          </w:tcPr>
          <w:p w14:paraId="656399C4" w14:textId="77777777" w:rsidR="002E6661" w:rsidRPr="00C93F88"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2.13</w:t>
            </w:r>
          </w:p>
        </w:tc>
        <w:tc>
          <w:tcPr>
            <w:tcW w:w="1289" w:type="pct"/>
            <w:hideMark/>
          </w:tcPr>
          <w:p w14:paraId="390EDBFB" w14:textId="77777777" w:rsidR="002E6661" w:rsidRPr="00C93F88" w:rsidRDefault="002E6661" w:rsidP="00206D8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Ferro-silico-manganese</w:t>
            </w:r>
          </w:p>
        </w:tc>
        <w:tc>
          <w:tcPr>
            <w:tcW w:w="507" w:type="pct"/>
            <w:noWrap/>
            <w:hideMark/>
          </w:tcPr>
          <w:p w14:paraId="0A19F59E" w14:textId="77777777" w:rsidR="002E6661" w:rsidRPr="00C93F88"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C93F88">
              <w:rPr>
                <w:rFonts w:ascii="Times New Roman" w:eastAsia="Times New Roman" w:hAnsi="Times New Roman" w:cs="Times New Roman"/>
                <w:color w:val="000000"/>
                <w:szCs w:val="24"/>
                <w:lang w:val="en-US"/>
              </w:rPr>
              <w:t>96.59</w:t>
            </w:r>
          </w:p>
        </w:tc>
        <w:tc>
          <w:tcPr>
            <w:tcW w:w="719" w:type="pct"/>
            <w:noWrap/>
            <w:hideMark/>
          </w:tcPr>
          <w:p w14:paraId="20F0622D" w14:textId="77777777" w:rsidR="002E6661" w:rsidRPr="00C93F88" w:rsidRDefault="002E6661" w:rsidP="00206D8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n-US"/>
              </w:rPr>
            </w:pPr>
            <w:r w:rsidRPr="00181760">
              <w:rPr>
                <w:rFonts w:ascii="Times New Roman" w:eastAsia="Times New Roman" w:hAnsi="Times New Roman" w:cs="Times New Roman"/>
                <w:color w:val="000000"/>
                <w:szCs w:val="24"/>
                <w:lang w:val="en-US"/>
              </w:rPr>
              <w:t>2.28</w:t>
            </w:r>
          </w:p>
        </w:tc>
      </w:tr>
    </w:tbl>
    <w:p w14:paraId="4A0D6D50" w14:textId="77777777" w:rsidR="002E6661" w:rsidRPr="00CC29AA" w:rsidRDefault="002E6661" w:rsidP="002E6661">
      <w:pPr>
        <w:jc w:val="both"/>
        <w:rPr>
          <w:rFonts w:ascii="Times New Roman" w:hAnsi="Times New Roman" w:cs="Times New Roman"/>
          <w:b/>
          <w:sz w:val="20"/>
          <w:szCs w:val="20"/>
        </w:rPr>
      </w:pPr>
      <w:r>
        <w:rPr>
          <w:rFonts w:ascii="Times New Roman" w:hAnsi="Times New Roman" w:cs="Times New Roman"/>
          <w:b/>
          <w:i/>
          <w:sz w:val="20"/>
          <w:szCs w:val="20"/>
        </w:rPr>
        <w:t>(</w:t>
      </w:r>
      <w:r w:rsidRPr="00CC29AA">
        <w:rPr>
          <w:rFonts w:ascii="Times New Roman" w:hAnsi="Times New Roman" w:cs="Times New Roman"/>
          <w:b/>
          <w:i/>
          <w:sz w:val="20"/>
          <w:szCs w:val="20"/>
        </w:rPr>
        <w:t>Source: ZAMSTATS</w:t>
      </w:r>
      <w:r>
        <w:rPr>
          <w:rFonts w:ascii="Times New Roman" w:hAnsi="Times New Roman" w:cs="Times New Roman"/>
          <w:b/>
          <w:i/>
          <w:sz w:val="20"/>
          <w:szCs w:val="20"/>
        </w:rPr>
        <w:t>)</w:t>
      </w:r>
    </w:p>
    <w:p w14:paraId="002765CA" w14:textId="77777777" w:rsidR="002E6661" w:rsidRPr="00C015E9" w:rsidRDefault="002E6661" w:rsidP="002E6661">
      <w:pPr>
        <w:spacing w:after="0"/>
        <w:jc w:val="both"/>
        <w:rPr>
          <w:rFonts w:ascii="Times New Roman" w:hAnsi="Times New Roman" w:cs="Times New Roman"/>
          <w:b/>
          <w:i/>
          <w:sz w:val="24"/>
          <w:szCs w:val="24"/>
          <w:highlight w:val="green"/>
        </w:rPr>
      </w:pPr>
    </w:p>
    <w:p w14:paraId="0278B40E" w14:textId="77777777" w:rsidR="002E6661" w:rsidRDefault="002E6661" w:rsidP="002E6661">
      <w:pPr>
        <w:rPr>
          <w:rFonts w:ascii="Times New Roman" w:hAnsi="Times New Roman" w:cs="Times New Roman"/>
          <w:b/>
          <w:sz w:val="24"/>
          <w:szCs w:val="24"/>
        </w:rPr>
      </w:pPr>
      <w:bookmarkStart w:id="4" w:name="_Toc66059040"/>
      <w:r w:rsidRPr="00766AA5">
        <w:rPr>
          <w:rFonts w:ascii="Times New Roman" w:hAnsi="Times New Roman" w:cs="Times New Roman"/>
          <w:b/>
          <w:sz w:val="24"/>
          <w:szCs w:val="24"/>
        </w:rPr>
        <w:t>Top Five (5) NTE Markets</w:t>
      </w:r>
      <w:bookmarkEnd w:id="4"/>
      <w:r w:rsidRPr="00766AA5">
        <w:rPr>
          <w:rFonts w:ascii="Times New Roman" w:hAnsi="Times New Roman" w:cs="Times New Roman"/>
          <w:b/>
          <w:sz w:val="24"/>
          <w:szCs w:val="24"/>
        </w:rPr>
        <w:t xml:space="preserve"> </w:t>
      </w:r>
      <w:r w:rsidRPr="00766AA5">
        <w:rPr>
          <w:rFonts w:ascii="Times New Roman" w:hAnsi="Times New Roman" w:cs="Times New Roman"/>
          <w:b/>
          <w:sz w:val="24"/>
          <w:szCs w:val="24"/>
        </w:rPr>
        <w:tab/>
      </w:r>
    </w:p>
    <w:p w14:paraId="6BA01D01" w14:textId="77777777" w:rsidR="002E6661" w:rsidRDefault="002E6661" w:rsidP="002E6661">
      <w:pPr>
        <w:jc w:val="both"/>
        <w:rPr>
          <w:rFonts w:ascii="Times New Roman" w:hAnsi="Times New Roman" w:cs="Times New Roman"/>
          <w:sz w:val="24"/>
          <w:szCs w:val="24"/>
        </w:rPr>
      </w:pPr>
      <w:r>
        <w:rPr>
          <w:rFonts w:ascii="Times New Roman" w:hAnsi="Times New Roman" w:cs="Times New Roman"/>
          <w:sz w:val="24"/>
          <w:szCs w:val="24"/>
        </w:rPr>
        <w:t xml:space="preserve">The top five (5) major export markets recorded USD 2.68 billion, representing 63.31 percent of total NTEs. The rest of the export markets recorded USD 1.54 billion, representing 36.69 percent of total NTEs. The </w:t>
      </w:r>
      <w:r w:rsidRPr="00526B80">
        <w:rPr>
          <w:rFonts w:ascii="Times New Roman" w:hAnsi="Times New Roman" w:cs="Times New Roman"/>
          <w:sz w:val="24"/>
          <w:szCs w:val="24"/>
        </w:rPr>
        <w:t>Democratic Republic of Congo (DRC) continued</w:t>
      </w:r>
      <w:r>
        <w:rPr>
          <w:rFonts w:ascii="Times New Roman" w:hAnsi="Times New Roman" w:cs="Times New Roman"/>
          <w:sz w:val="24"/>
          <w:szCs w:val="24"/>
        </w:rPr>
        <w:t xml:space="preserve"> to be Zambia’s top destination with export earnings of USD 1.54 billion in 2023, representing 36.62 percent of total NTEs. In comparison to 2022, NTEs declined by 3.12 percent from USD 1.59 billion in 2022 to USD 1.55 billion in 2023. </w:t>
      </w:r>
    </w:p>
    <w:p w14:paraId="7885A61C" w14:textId="77777777" w:rsidR="002E6661" w:rsidRDefault="002E6661" w:rsidP="002E6661">
      <w:pPr>
        <w:jc w:val="both"/>
        <w:rPr>
          <w:rFonts w:ascii="Times New Roman" w:hAnsi="Times New Roman" w:cs="Times New Roman"/>
          <w:sz w:val="24"/>
          <w:szCs w:val="24"/>
        </w:rPr>
      </w:pPr>
      <w:r>
        <w:rPr>
          <w:rFonts w:ascii="Times New Roman" w:hAnsi="Times New Roman" w:cs="Times New Roman"/>
          <w:sz w:val="24"/>
          <w:szCs w:val="24"/>
        </w:rPr>
        <w:t xml:space="preserve">Other NTE exports markets for Zambia were: South Africa (USD 549.94 million); Zimbabwe (USD 255.66 million; China (USD 171.95 million) and Botswana (USD 151.88 million), representing 13, 6.04, 4.06 and 3.59 percent respectively. Other markets combined accounted for the remaining USD 1.55 billion, representing 36.99 percent of total NTEs. Refer to Figure 13. </w:t>
      </w:r>
    </w:p>
    <w:p w14:paraId="3A427CC7" w14:textId="77777777" w:rsidR="002E6661" w:rsidRDefault="002E6661" w:rsidP="002E6661">
      <w:pPr>
        <w:jc w:val="both"/>
        <w:rPr>
          <w:rFonts w:ascii="Times New Roman" w:hAnsi="Times New Roman" w:cs="Times New Roman"/>
          <w:sz w:val="24"/>
          <w:szCs w:val="24"/>
        </w:rPr>
      </w:pPr>
    </w:p>
    <w:p w14:paraId="23B9BAD5" w14:textId="77777777" w:rsidR="002E6661" w:rsidRPr="00C015E9" w:rsidRDefault="002E6661" w:rsidP="002E6661">
      <w:pPr>
        <w:spacing w:after="0" w:line="240" w:lineRule="auto"/>
        <w:jc w:val="both"/>
        <w:rPr>
          <w:rFonts w:ascii="Times New Roman" w:hAnsi="Times New Roman" w:cs="Times New Roman"/>
          <w:bCs/>
          <w:sz w:val="24"/>
          <w:szCs w:val="24"/>
          <w:highlight w:val="green"/>
        </w:rPr>
      </w:pPr>
    </w:p>
    <w:p w14:paraId="27413D5F" w14:textId="77777777" w:rsidR="002E6661" w:rsidRPr="00555497" w:rsidRDefault="002E6661" w:rsidP="002E6661">
      <w:pPr>
        <w:pStyle w:val="Caption"/>
        <w:spacing w:after="0"/>
        <w:rPr>
          <w:b/>
          <w:sz w:val="20"/>
          <w:szCs w:val="20"/>
        </w:rPr>
      </w:pPr>
      <w:bookmarkStart w:id="5" w:name="_Toc157772318"/>
      <w:r w:rsidRPr="00555497">
        <w:rPr>
          <w:sz w:val="20"/>
          <w:szCs w:val="20"/>
        </w:rPr>
        <w:t xml:space="preserve">Figure </w:t>
      </w:r>
      <w:r w:rsidRPr="00555497">
        <w:rPr>
          <w:sz w:val="20"/>
          <w:szCs w:val="20"/>
        </w:rPr>
        <w:fldChar w:fldCharType="begin"/>
      </w:r>
      <w:r w:rsidRPr="00555497">
        <w:rPr>
          <w:sz w:val="20"/>
          <w:szCs w:val="20"/>
        </w:rPr>
        <w:instrText xml:space="preserve"> SEQ Figure \* ARABIC </w:instrText>
      </w:r>
      <w:r w:rsidRPr="00555497">
        <w:rPr>
          <w:sz w:val="20"/>
          <w:szCs w:val="20"/>
        </w:rPr>
        <w:fldChar w:fldCharType="separate"/>
      </w:r>
      <w:r w:rsidRPr="00555497">
        <w:rPr>
          <w:sz w:val="20"/>
          <w:szCs w:val="20"/>
        </w:rPr>
        <w:t>13</w:t>
      </w:r>
      <w:r w:rsidRPr="00555497">
        <w:rPr>
          <w:sz w:val="20"/>
          <w:szCs w:val="20"/>
        </w:rPr>
        <w:fldChar w:fldCharType="end"/>
      </w:r>
      <w:r w:rsidRPr="00555497">
        <w:rPr>
          <w:b/>
          <w:sz w:val="20"/>
          <w:szCs w:val="20"/>
        </w:rPr>
        <w:t>: T</w:t>
      </w:r>
      <w:r>
        <w:rPr>
          <w:b/>
          <w:sz w:val="20"/>
          <w:szCs w:val="20"/>
        </w:rPr>
        <w:t>op 5 NTE Export Markets, 2022</w:t>
      </w:r>
      <w:r w:rsidRPr="00555497">
        <w:rPr>
          <w:b/>
          <w:sz w:val="20"/>
          <w:szCs w:val="20"/>
        </w:rPr>
        <w:t xml:space="preserve"> – 202</w:t>
      </w:r>
      <w:r>
        <w:rPr>
          <w:b/>
          <w:sz w:val="20"/>
          <w:szCs w:val="20"/>
        </w:rPr>
        <w:t>3</w:t>
      </w:r>
      <w:bookmarkEnd w:id="5"/>
      <w:r w:rsidRPr="00555497">
        <w:rPr>
          <w:b/>
          <w:sz w:val="20"/>
          <w:szCs w:val="20"/>
        </w:rPr>
        <w:t xml:space="preserve"> </w:t>
      </w:r>
    </w:p>
    <w:p w14:paraId="0CDC1DA3" w14:textId="77777777" w:rsidR="002E6661" w:rsidRPr="00555497" w:rsidRDefault="002E6661" w:rsidP="002E6661">
      <w:pPr>
        <w:rPr>
          <w:highlight w:val="green"/>
        </w:rPr>
      </w:pPr>
      <w:r>
        <w:rPr>
          <w:noProof/>
          <w:lang w:val="en-US"/>
        </w:rPr>
        <w:lastRenderedPageBreak/>
        <w:drawing>
          <wp:inline distT="0" distB="0" distL="0" distR="0" wp14:anchorId="1AEC899A" wp14:editId="7F67A67E">
            <wp:extent cx="5667375" cy="3381375"/>
            <wp:effectExtent l="0" t="0" r="9525" b="952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14:paraId="7369AB90" w14:textId="77777777" w:rsidR="002E6661" w:rsidRPr="00555497" w:rsidRDefault="002E6661" w:rsidP="002E6661">
      <w:pPr>
        <w:pStyle w:val="Caption"/>
        <w:spacing w:after="0"/>
        <w:rPr>
          <w:b/>
          <w:sz w:val="20"/>
          <w:szCs w:val="20"/>
        </w:rPr>
      </w:pPr>
      <w:r w:rsidRPr="00555497">
        <w:rPr>
          <w:b/>
          <w:color w:val="000000" w:themeColor="text1"/>
          <w:sz w:val="20"/>
          <w:szCs w:val="20"/>
        </w:rPr>
        <w:t>(</w:t>
      </w:r>
      <w:r w:rsidRPr="00555497">
        <w:rPr>
          <w:b/>
          <w:i/>
          <w:color w:val="000000" w:themeColor="text1"/>
          <w:sz w:val="20"/>
          <w:szCs w:val="20"/>
        </w:rPr>
        <w:t>Source: ZAMSTATS</w:t>
      </w:r>
      <w:r>
        <w:rPr>
          <w:b/>
          <w:i/>
          <w:color w:val="000000" w:themeColor="text1"/>
          <w:sz w:val="20"/>
          <w:szCs w:val="20"/>
        </w:rPr>
        <w:t>, ZDA</w:t>
      </w:r>
      <w:r w:rsidRPr="00555497">
        <w:rPr>
          <w:b/>
          <w:i/>
          <w:color w:val="000000" w:themeColor="text1"/>
          <w:sz w:val="20"/>
          <w:szCs w:val="20"/>
        </w:rPr>
        <w:t>)</w:t>
      </w:r>
    </w:p>
    <w:p w14:paraId="37E799BE" w14:textId="77777777" w:rsidR="002E6661" w:rsidRPr="00C015E9" w:rsidRDefault="002E6661" w:rsidP="002E6661">
      <w:pPr>
        <w:spacing w:after="0"/>
        <w:jc w:val="both"/>
        <w:rPr>
          <w:rFonts w:ascii="Times New Roman" w:hAnsi="Times New Roman" w:cs="Times New Roman"/>
          <w:b/>
          <w:i/>
          <w:sz w:val="24"/>
          <w:szCs w:val="24"/>
          <w:highlight w:val="green"/>
        </w:rPr>
      </w:pPr>
    </w:p>
    <w:p w14:paraId="4B01CD30" w14:textId="77777777" w:rsidR="002E6661" w:rsidRDefault="002E6661" w:rsidP="002E6661">
      <w:pPr>
        <w:rPr>
          <w:rFonts w:ascii="Times New Roman" w:hAnsi="Times New Roman" w:cs="Times New Roman"/>
          <w:b/>
          <w:sz w:val="24"/>
          <w:szCs w:val="24"/>
        </w:rPr>
      </w:pPr>
      <w:bookmarkStart w:id="6" w:name="_Toc66059041"/>
      <w:r w:rsidRPr="00AA6942">
        <w:rPr>
          <w:rFonts w:ascii="Times New Roman" w:hAnsi="Times New Roman" w:cs="Times New Roman"/>
          <w:b/>
          <w:sz w:val="24"/>
          <w:szCs w:val="24"/>
        </w:rPr>
        <w:t>Performance by Market Blocs</w:t>
      </w:r>
      <w:bookmarkEnd w:id="6"/>
    </w:p>
    <w:p w14:paraId="1F298900" w14:textId="77777777" w:rsidR="002E6661" w:rsidRDefault="002E6661" w:rsidP="002E6661">
      <w:pPr>
        <w:jc w:val="both"/>
        <w:rPr>
          <w:rFonts w:ascii="Times New Roman" w:hAnsi="Times New Roman" w:cs="Times New Roman"/>
          <w:sz w:val="24"/>
          <w:szCs w:val="24"/>
        </w:rPr>
      </w:pPr>
      <w:r>
        <w:rPr>
          <w:rFonts w:ascii="Times New Roman" w:hAnsi="Times New Roman" w:cs="Times New Roman"/>
          <w:sz w:val="24"/>
          <w:szCs w:val="24"/>
        </w:rPr>
        <w:t xml:space="preserve">Zambia’s major export destinations by market blocs in 2023 was dominated by trading partners within COMESA/SADC with exports amounting to USD 1.95 billion, representing 46.22 percent of total NTEs. In comparison to 2022, which recorded exports amounting to USD 1.99 billion, NTEs declined by 1.78 percent. The SADC Exclusive and ASIA market blocs recorded exports amounting to USD 1.05 billion and USD 506.22 million, representing 24.78 percent and 11.96 percent respectively. Amongst all market blocs, COMESA Exclusive countries accounted for the least share of exports amounting to USD 118.95 million, representing 2.81 percent of the total market share. Refer to Figure 14. </w:t>
      </w:r>
    </w:p>
    <w:p w14:paraId="17798152" w14:textId="77777777" w:rsidR="002E6661" w:rsidRPr="00A06AE4" w:rsidRDefault="002E6661" w:rsidP="002E6661">
      <w:pPr>
        <w:pStyle w:val="Caption"/>
        <w:spacing w:after="0"/>
      </w:pPr>
      <w:bookmarkStart w:id="7" w:name="_Toc157772319"/>
      <w:r w:rsidRPr="00A06AE4">
        <w:t xml:space="preserve">Figure </w:t>
      </w:r>
      <w:r w:rsidRPr="00A06AE4">
        <w:fldChar w:fldCharType="begin"/>
      </w:r>
      <w:r w:rsidRPr="00A06AE4">
        <w:instrText xml:space="preserve"> SEQ Figure \* ARABIC </w:instrText>
      </w:r>
      <w:r w:rsidRPr="00A06AE4">
        <w:fldChar w:fldCharType="separate"/>
      </w:r>
      <w:r w:rsidRPr="00A06AE4">
        <w:t>14</w:t>
      </w:r>
      <w:r w:rsidRPr="00A06AE4">
        <w:fldChar w:fldCharType="end"/>
      </w:r>
      <w:r w:rsidRPr="00A06AE4">
        <w:t>: Total Export Performance by Market Bloc, 2022 -2023</w:t>
      </w:r>
      <w:bookmarkEnd w:id="7"/>
    </w:p>
    <w:p w14:paraId="2B62E2BC" w14:textId="77777777" w:rsidR="002E6661" w:rsidRPr="00555497" w:rsidRDefault="002E6661" w:rsidP="002E6661">
      <w:pPr>
        <w:rPr>
          <w:highlight w:val="green"/>
        </w:rPr>
      </w:pPr>
      <w:r>
        <w:rPr>
          <w:noProof/>
          <w:lang w:val="en-US"/>
        </w:rPr>
        <w:lastRenderedPageBreak/>
        <w:drawing>
          <wp:inline distT="0" distB="0" distL="0" distR="0" wp14:anchorId="466B2FE7" wp14:editId="19197BC6">
            <wp:extent cx="5557652" cy="3123210"/>
            <wp:effectExtent l="0" t="0" r="5080" b="127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0BA105C4" w14:textId="77777777" w:rsidR="002E6661" w:rsidRPr="00C015E9" w:rsidRDefault="002E6661" w:rsidP="002E6661">
      <w:pPr>
        <w:pStyle w:val="Caption"/>
        <w:spacing w:after="0"/>
      </w:pPr>
      <w:r w:rsidRPr="00A06AE4">
        <w:rPr>
          <w:b/>
          <w:color w:val="000000" w:themeColor="text1"/>
          <w:sz w:val="20"/>
          <w:szCs w:val="20"/>
        </w:rPr>
        <w:t>(</w:t>
      </w:r>
      <w:r w:rsidRPr="00A06AE4">
        <w:rPr>
          <w:b/>
          <w:i/>
          <w:color w:val="000000" w:themeColor="text1"/>
          <w:sz w:val="20"/>
          <w:szCs w:val="20"/>
        </w:rPr>
        <w:t>Source: ZAMSTATS</w:t>
      </w:r>
      <w:r>
        <w:rPr>
          <w:b/>
          <w:i/>
          <w:color w:val="000000" w:themeColor="text1"/>
          <w:sz w:val="20"/>
          <w:szCs w:val="20"/>
        </w:rPr>
        <w:t>, ZDA</w:t>
      </w:r>
      <w:r w:rsidRPr="00A06AE4">
        <w:rPr>
          <w:b/>
          <w:i/>
          <w:color w:val="000000" w:themeColor="text1"/>
          <w:sz w:val="20"/>
          <w:szCs w:val="20"/>
        </w:rPr>
        <w:t>)</w:t>
      </w:r>
    </w:p>
    <w:p w14:paraId="3B66DDE9" w14:textId="77777777" w:rsidR="002E6661" w:rsidRDefault="002E6661" w:rsidP="002E6661">
      <w:pPr>
        <w:jc w:val="both"/>
        <w:rPr>
          <w:rFonts w:ascii="Times New Roman" w:hAnsi="Times New Roman" w:cs="Times New Roman"/>
          <w:sz w:val="24"/>
          <w:szCs w:val="24"/>
        </w:rPr>
      </w:pPr>
    </w:p>
    <w:p w14:paraId="745C05D7" w14:textId="77777777" w:rsidR="002E6661" w:rsidRDefault="002E6661" w:rsidP="002E6661">
      <w:pPr>
        <w:jc w:val="both"/>
        <w:rPr>
          <w:rFonts w:ascii="Times New Roman" w:hAnsi="Times New Roman" w:cs="Times New Roman"/>
          <w:sz w:val="24"/>
          <w:szCs w:val="24"/>
        </w:rPr>
      </w:pPr>
      <w:r>
        <w:rPr>
          <w:rFonts w:ascii="Times New Roman" w:hAnsi="Times New Roman" w:cs="Times New Roman"/>
          <w:sz w:val="24"/>
          <w:szCs w:val="24"/>
        </w:rPr>
        <w:t xml:space="preserve">Evidenced by the trend in export markets, the aforementioned analysis shows that COMESA and SADC markets continue to the Zambia’s biggest trading partner. Furthermore, membership of Zambia in these bodies continues to be viable for the country's trade in terms of market access. </w:t>
      </w:r>
    </w:p>
    <w:p w14:paraId="0958ECEA" w14:textId="77777777" w:rsidR="00A24302" w:rsidRDefault="00A24302"/>
    <w:sectPr w:rsidR="00A2430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0E03F9"/>
    <w:multiLevelType w:val="multilevel"/>
    <w:tmpl w:val="7F52D53C"/>
    <w:lvl w:ilvl="0">
      <w:start w:val="1"/>
      <w:numFmt w:val="decimal"/>
      <w:lvlText w:val="%1.0"/>
      <w:lvlJc w:val="left"/>
      <w:pPr>
        <w:ind w:left="72" w:hanging="72"/>
      </w:pPr>
      <w:rPr>
        <w:rFonts w:hint="default"/>
        <w:color w:val="FFFFFF" w:themeColor="background1"/>
      </w:rPr>
    </w:lvl>
    <w:lvl w:ilvl="1">
      <w:start w:val="1"/>
      <w:numFmt w:val="decimal"/>
      <w:lvlText w:val="%1.%2"/>
      <w:lvlJc w:val="left"/>
      <w:pPr>
        <w:ind w:left="1800" w:hanging="360"/>
      </w:pPr>
      <w:rPr>
        <w:rFonts w:hint="default"/>
      </w:rPr>
    </w:lvl>
    <w:lvl w:ilvl="2">
      <w:start w:val="1"/>
      <w:numFmt w:val="decimal"/>
      <w:lvlText w:val="%1.%2.%3"/>
      <w:lvlJc w:val="left"/>
      <w:pPr>
        <w:ind w:left="297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8280" w:hanging="180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TI2srSwBAJDM0tDIyUdpeDU4uLM/DyQAsNaANLUuTksAAAA"/>
  </w:docVars>
  <w:rsids>
    <w:rsidRoot w:val="002E6661"/>
    <w:rsid w:val="002E6661"/>
    <w:rsid w:val="005B4F70"/>
    <w:rsid w:val="00A243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A61BC0"/>
  <w15:chartTrackingRefBased/>
  <w15:docId w15:val="{161624B1-7B9F-4EA1-905B-6EED9D7289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E6661"/>
    <w:rPr>
      <w:lang w:val="en-GB"/>
    </w:rPr>
  </w:style>
  <w:style w:type="paragraph" w:styleId="Heading2">
    <w:name w:val="heading 2"/>
    <w:basedOn w:val="Normal"/>
    <w:next w:val="Normal"/>
    <w:link w:val="Heading2Char"/>
    <w:qFormat/>
    <w:rsid w:val="002E6661"/>
    <w:pPr>
      <w:keepNext/>
      <w:spacing w:after="0" w:line="288" w:lineRule="auto"/>
      <w:jc w:val="both"/>
      <w:outlineLvl w:val="1"/>
    </w:pPr>
    <w:rPr>
      <w:rFonts w:ascii="Times New Roman" w:eastAsia="Times New Roman" w:hAnsi="Times New Roman" w:cs="Times New Roman"/>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2E6661"/>
    <w:rPr>
      <w:rFonts w:ascii="Times New Roman" w:eastAsia="Times New Roman" w:hAnsi="Times New Roman" w:cs="Times New Roman"/>
      <w:b/>
      <w:bCs/>
      <w:lang w:val="en-GB"/>
    </w:rPr>
  </w:style>
  <w:style w:type="paragraph" w:styleId="Caption">
    <w:name w:val="caption"/>
    <w:basedOn w:val="Normal"/>
    <w:next w:val="Normal"/>
    <w:link w:val="CaptionChar"/>
    <w:uiPriority w:val="35"/>
    <w:unhideWhenUsed/>
    <w:qFormat/>
    <w:rsid w:val="002E6661"/>
    <w:pPr>
      <w:spacing w:after="200" w:line="288" w:lineRule="auto"/>
      <w:jc w:val="both"/>
    </w:pPr>
    <w:rPr>
      <w:rFonts w:ascii="Times New Roman" w:eastAsia="Times New Roman" w:hAnsi="Times New Roman" w:cs="Times New Roman"/>
      <w:color w:val="5B9BD5" w:themeColor="accent1"/>
      <w:sz w:val="18"/>
      <w:szCs w:val="18"/>
    </w:rPr>
  </w:style>
  <w:style w:type="table" w:customStyle="1" w:styleId="GridTable4-Accent51">
    <w:name w:val="Grid Table 4 - Accent 51"/>
    <w:basedOn w:val="TableNormal"/>
    <w:uiPriority w:val="49"/>
    <w:rsid w:val="002E6661"/>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customStyle="1" w:styleId="CaptionChar">
    <w:name w:val="Caption Char"/>
    <w:basedOn w:val="DefaultParagraphFont"/>
    <w:link w:val="Caption"/>
    <w:uiPriority w:val="35"/>
    <w:rsid w:val="002E6661"/>
    <w:rPr>
      <w:rFonts w:ascii="Times New Roman" w:eastAsia="Times New Roman" w:hAnsi="Times New Roman" w:cs="Times New Roman"/>
      <w:color w:val="5B9BD5" w:themeColor="accent1"/>
      <w:sz w:val="18"/>
      <w:szCs w:val="18"/>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4.xml"/><Relationship Id="rId3" Type="http://schemas.openxmlformats.org/officeDocument/2006/relationships/settings" Target="settings.xml"/><Relationship Id="rId7" Type="http://schemas.openxmlformats.org/officeDocument/2006/relationships/chart" Target="charts/chart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chart" Target="charts/chart2.xml"/><Relationship Id="rId5" Type="http://schemas.openxmlformats.org/officeDocument/2006/relationships/chart" Target="charts/chart1.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'Export composition'!$A$11</c:f>
              <c:strCache>
                <c:ptCount val="1"/>
                <c:pt idx="0">
                  <c:v>Total Exports</c:v>
                </c:pt>
              </c:strCache>
            </c:strRef>
          </c:tx>
          <c:spPr>
            <a:solidFill>
              <a:srgbClr val="00B050"/>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'Export composition'!$B$10:$F$10</c:f>
              <c:numCache>
                <c:formatCode>General</c:formatCode>
                <c:ptCount val="5"/>
                <c:pt idx="0">
                  <c:v>2019</c:v>
                </c:pt>
                <c:pt idx="1">
                  <c:v>2020</c:v>
                </c:pt>
                <c:pt idx="2">
                  <c:v>2021</c:v>
                </c:pt>
                <c:pt idx="3">
                  <c:v>2022</c:v>
                </c:pt>
                <c:pt idx="4">
                  <c:v>2023</c:v>
                </c:pt>
              </c:numCache>
            </c:numRef>
          </c:cat>
          <c:val>
            <c:numRef>
              <c:f>'Export composition'!$B$11:$F$11</c:f>
              <c:numCache>
                <c:formatCode>General</c:formatCode>
                <c:ptCount val="5"/>
                <c:pt idx="0">
                  <c:v>8.94</c:v>
                </c:pt>
                <c:pt idx="1">
                  <c:v>7.82</c:v>
                </c:pt>
                <c:pt idx="2">
                  <c:v>11.08</c:v>
                </c:pt>
                <c:pt idx="3">
                  <c:v>11.65</c:v>
                </c:pt>
                <c:pt idx="4">
                  <c:v>10.42</c:v>
                </c:pt>
              </c:numCache>
            </c:numRef>
          </c:val>
          <c:extLst>
            <c:ext xmlns:c16="http://schemas.microsoft.com/office/drawing/2014/chart" uri="{C3380CC4-5D6E-409C-BE32-E72D297353CC}">
              <c16:uniqueId val="{00000000-60D4-44C3-8F38-A55A9E58B11D}"/>
            </c:ext>
          </c:extLst>
        </c:ser>
        <c:ser>
          <c:idx val="1"/>
          <c:order val="1"/>
          <c:tx>
            <c:strRef>
              <c:f>'Export composition'!$A$12</c:f>
              <c:strCache>
                <c:ptCount val="1"/>
                <c:pt idx="0">
                  <c:v>NTEs</c:v>
                </c:pt>
              </c:strCache>
            </c:strRef>
          </c:tx>
          <c:spPr>
            <a:solidFill>
              <a:srgbClr val="FF0000"/>
            </a:solidFill>
            <a:ln>
              <a:noFill/>
            </a:ln>
            <a:effectLst>
              <a:outerShdw blurRad="40000" dist="23000" dir="5400000" rotWithShape="0">
                <a:srgbClr val="000000">
                  <a:alpha val="35000"/>
                </a:srgbClr>
              </a:outerShdw>
            </a:effectLst>
          </c:spPr>
          <c:invertIfNegative val="0"/>
          <c:dLbls>
            <c:dLbl>
              <c:idx val="0"/>
              <c:layout>
                <c:manualLayout>
                  <c:x val="7.7820995777854009E-3"/>
                  <c:y val="-1.3790776420039105E-1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A41-4974-88E0-F10BCCA71AAE}"/>
                </c:ext>
              </c:extLst>
            </c:dLbl>
            <c:dLbl>
              <c:idx val="1"/>
              <c:layout>
                <c:manualLayout>
                  <c:x val="7.7820995777853055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A41-4974-88E0-F10BCCA71AAE}"/>
                </c:ext>
              </c:extLst>
            </c:dLbl>
            <c:dLbl>
              <c:idx val="2"/>
              <c:layout>
                <c:manualLayout>
                  <c:x val="7.7820995777853532E-3"/>
                  <c:y val="-6.8953882100195526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A41-4974-88E0-F10BCCA71AAE}"/>
                </c:ext>
              </c:extLst>
            </c:dLbl>
            <c:dLbl>
              <c:idx val="3"/>
              <c:layout>
                <c:manualLayout>
                  <c:x val="7.7820995777852587E-3"/>
                  <c:y val="6.8953882100195526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A41-4974-88E0-F10BCCA71AAE}"/>
                </c:ext>
              </c:extLst>
            </c:dLbl>
            <c:dLbl>
              <c:idx val="4"/>
              <c:layout>
                <c:manualLayout>
                  <c:x val="7.7820995777853532E-3"/>
                  <c:y val="3.761164290617691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A41-4974-88E0-F10BCCA71AA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'Export composition'!$B$10:$F$10</c:f>
              <c:numCache>
                <c:formatCode>General</c:formatCode>
                <c:ptCount val="5"/>
                <c:pt idx="0">
                  <c:v>2019</c:v>
                </c:pt>
                <c:pt idx="1">
                  <c:v>2020</c:v>
                </c:pt>
                <c:pt idx="2">
                  <c:v>2021</c:v>
                </c:pt>
                <c:pt idx="3">
                  <c:v>2022</c:v>
                </c:pt>
                <c:pt idx="4">
                  <c:v>2023</c:v>
                </c:pt>
              </c:numCache>
            </c:numRef>
          </c:cat>
          <c:val>
            <c:numRef>
              <c:f>'Export composition'!$B$12:$F$12</c:f>
              <c:numCache>
                <c:formatCode>General</c:formatCode>
                <c:ptCount val="5"/>
                <c:pt idx="0">
                  <c:v>2.2599999999999998</c:v>
                </c:pt>
                <c:pt idx="1">
                  <c:v>1.93</c:v>
                </c:pt>
                <c:pt idx="2">
                  <c:v>2.69</c:v>
                </c:pt>
                <c:pt idx="3">
                  <c:v>3.52</c:v>
                </c:pt>
                <c:pt idx="4">
                  <c:v>4.2300000000000004</c:v>
                </c:pt>
              </c:numCache>
            </c:numRef>
          </c:val>
          <c:extLst>
            <c:ext xmlns:c16="http://schemas.microsoft.com/office/drawing/2014/chart" uri="{C3380CC4-5D6E-409C-BE32-E72D297353CC}">
              <c16:uniqueId val="{00000001-60D4-44C3-8F38-A55A9E58B11D}"/>
            </c:ext>
          </c:extLst>
        </c:ser>
        <c:dLbls>
          <c:dLblPos val="outEnd"/>
          <c:showLegendKey val="0"/>
          <c:showVal val="1"/>
          <c:showCatName val="0"/>
          <c:showSerName val="0"/>
          <c:showPercent val="0"/>
          <c:showBubbleSize val="0"/>
        </c:dLbls>
        <c:gapWidth val="219"/>
        <c:axId val="599093480"/>
        <c:axId val="599094264"/>
      </c:barChart>
      <c:lineChart>
        <c:grouping val="standard"/>
        <c:varyColors val="0"/>
        <c:ser>
          <c:idx val="2"/>
          <c:order val="2"/>
          <c:tx>
            <c:strRef>
              <c:f>'Export composition'!$A$13</c:f>
              <c:strCache>
                <c:ptCount val="1"/>
                <c:pt idx="0">
                  <c:v>% Share of NTEs to Total Exports</c:v>
                </c:pt>
              </c:strCache>
            </c:strRef>
          </c:tx>
          <c:spPr>
            <a:ln w="25400" cap="rnd">
              <a:noFill/>
              <a:round/>
            </a:ln>
            <a:effectLst>
              <a:outerShdw blurRad="40000" dist="23000" dir="5400000" rotWithShape="0">
                <a:srgbClr val="000000">
                  <a:alpha val="35000"/>
                </a:srgbClr>
              </a:outerShdw>
            </a:effectLst>
          </c:spPr>
          <c:marker>
            <c:symbol val="none"/>
          </c:marker>
          <c:dLbls>
            <c:dLbl>
              <c:idx val="0"/>
              <c:layout>
                <c:manualLayout>
                  <c:x val="2.9742418935689054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A41-4974-88E0-F10BCCA71AAE}"/>
                </c:ext>
              </c:extLst>
            </c:dLbl>
            <c:dLbl>
              <c:idx val="1"/>
              <c:layout>
                <c:manualLayout>
                  <c:x val="3.6316464696331652E-2"/>
                  <c:y val="-1.3790776420039105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A41-4974-88E0-F10BCCA71AAE}"/>
                </c:ext>
              </c:extLst>
            </c:dLbl>
            <c:dLbl>
              <c:idx val="2"/>
              <c:layout>
                <c:manualLayout>
                  <c:x val="2.5940331925951177E-2"/>
                  <c:y val="-1.3790776420039105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A41-4974-88E0-F10BCCA71AAE}"/>
                </c:ext>
              </c:extLst>
            </c:dLbl>
            <c:dLbl>
              <c:idx val="3"/>
              <c:layout>
                <c:manualLayout>
                  <c:x val="2.594033192595117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A41-4974-88E0-F10BCCA71AAE}"/>
                </c:ext>
              </c:extLst>
            </c:dLbl>
            <c:dLbl>
              <c:idx val="4"/>
              <c:layout>
                <c:manualLayout>
                  <c:x val="2.8534365118546297E-2"/>
                  <c:y val="-1.3790776420039105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A41-4974-88E0-F10BCCA71AAE}"/>
                </c:ext>
              </c:extLst>
            </c:dLbl>
            <c:spPr>
              <a:noFill/>
              <a:ln>
                <a:noFill/>
              </a:ln>
              <a:effectLst/>
            </c:spPr>
            <c:txPr>
              <a:bodyPr rot="0" spcFirstLastPara="1" vertOverflow="ellipsis" horzOverflow="clip"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0"/>
              </c:ext>
            </c:extLst>
          </c:dLbls>
          <c:cat>
            <c:numRef>
              <c:f>'Export composition'!$B$10:$F$10</c:f>
              <c:numCache>
                <c:formatCode>General</c:formatCode>
                <c:ptCount val="5"/>
                <c:pt idx="0">
                  <c:v>2019</c:v>
                </c:pt>
                <c:pt idx="1">
                  <c:v>2020</c:v>
                </c:pt>
                <c:pt idx="2">
                  <c:v>2021</c:v>
                </c:pt>
                <c:pt idx="3">
                  <c:v>2022</c:v>
                </c:pt>
                <c:pt idx="4">
                  <c:v>2023</c:v>
                </c:pt>
              </c:numCache>
            </c:numRef>
          </c:cat>
          <c:val>
            <c:numRef>
              <c:f>'Export composition'!$B$13:$F$13</c:f>
              <c:numCache>
                <c:formatCode>0%</c:formatCode>
                <c:ptCount val="5"/>
                <c:pt idx="0">
                  <c:v>0.25279642058165547</c:v>
                </c:pt>
                <c:pt idx="1">
                  <c:v>0.24680306905370841</c:v>
                </c:pt>
                <c:pt idx="2">
                  <c:v>0.24277978339350179</c:v>
                </c:pt>
                <c:pt idx="3">
                  <c:v>0.30214592274678109</c:v>
                </c:pt>
                <c:pt idx="4">
                  <c:v>0.40595009596928988</c:v>
                </c:pt>
              </c:numCache>
            </c:numRef>
          </c:val>
          <c:smooth val="0"/>
          <c:extLst>
            <c:ext xmlns:c16="http://schemas.microsoft.com/office/drawing/2014/chart" uri="{C3380CC4-5D6E-409C-BE32-E72D297353CC}">
              <c16:uniqueId val="{00000002-60D4-44C3-8F38-A55A9E58B11D}"/>
            </c:ext>
          </c:extLst>
        </c:ser>
        <c:dLbls>
          <c:showLegendKey val="0"/>
          <c:showVal val="0"/>
          <c:showCatName val="0"/>
          <c:showSerName val="0"/>
          <c:showPercent val="0"/>
          <c:showBubbleSize val="0"/>
        </c:dLbls>
        <c:marker val="1"/>
        <c:smooth val="0"/>
        <c:axId val="599093480"/>
        <c:axId val="599094264"/>
      </c:lineChart>
      <c:catAx>
        <c:axId val="59909348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599094264"/>
        <c:crosses val="autoZero"/>
        <c:auto val="1"/>
        <c:lblAlgn val="ctr"/>
        <c:lblOffset val="100"/>
        <c:noMultiLvlLbl val="0"/>
      </c:catAx>
      <c:valAx>
        <c:axId val="599094264"/>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GB"/>
                  <a:t>Exports in USD'Billion and % Share of NTEs </a:t>
                </a:r>
                <a:endParaRPr lang="en-US"/>
              </a:p>
              <a:p>
                <a:pPr>
                  <a:defRPr/>
                </a:pPr>
                <a:endParaRPr lang="en-US"/>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599093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'Sector Contribution'!$G$2</c:f>
              <c:strCache>
                <c:ptCount val="1"/>
                <c:pt idx="0">
                  <c:v>2022</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'Sector Contribution'!$F$3:$F$8</c:f>
              <c:strCache>
                <c:ptCount val="6"/>
                <c:pt idx="0">
                  <c:v>Engineering and Foundry</c:v>
                </c:pt>
                <c:pt idx="1">
                  <c:v>Chemicals and Pharmaceuticals</c:v>
                </c:pt>
                <c:pt idx="2">
                  <c:v>Processed and Refined Foods</c:v>
                </c:pt>
                <c:pt idx="3">
                  <c:v>Primary Agriculture</c:v>
                </c:pt>
                <c:pt idx="4">
                  <c:v>Electricity</c:v>
                </c:pt>
                <c:pt idx="5">
                  <c:v>Other</c:v>
                </c:pt>
              </c:strCache>
            </c:strRef>
          </c:cat>
          <c:val>
            <c:numRef>
              <c:f>'Sector Contribution'!$G$3:$G$8</c:f>
              <c:numCache>
                <c:formatCode>General</c:formatCode>
                <c:ptCount val="6"/>
                <c:pt idx="0">
                  <c:v>670</c:v>
                </c:pt>
                <c:pt idx="1">
                  <c:v>790</c:v>
                </c:pt>
                <c:pt idx="2">
                  <c:v>630</c:v>
                </c:pt>
                <c:pt idx="3">
                  <c:v>388</c:v>
                </c:pt>
                <c:pt idx="4">
                  <c:v>296</c:v>
                </c:pt>
                <c:pt idx="5">
                  <c:v>744</c:v>
                </c:pt>
              </c:numCache>
            </c:numRef>
          </c:val>
          <c:extLst>
            <c:ext xmlns:c16="http://schemas.microsoft.com/office/drawing/2014/chart" uri="{C3380CC4-5D6E-409C-BE32-E72D297353CC}">
              <c16:uniqueId val="{00000000-36F6-4CC2-AD58-20F6DA0D63FB}"/>
            </c:ext>
          </c:extLst>
        </c:ser>
        <c:ser>
          <c:idx val="1"/>
          <c:order val="1"/>
          <c:tx>
            <c:strRef>
              <c:f>'Sector Contribution'!$H$2</c:f>
              <c:strCache>
                <c:ptCount val="1"/>
                <c:pt idx="0">
                  <c:v>2023</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'Sector Contribution'!$F$3:$F$8</c:f>
              <c:strCache>
                <c:ptCount val="6"/>
                <c:pt idx="0">
                  <c:v>Engineering and Foundry</c:v>
                </c:pt>
                <c:pt idx="1">
                  <c:v>Chemicals and Pharmaceuticals</c:v>
                </c:pt>
                <c:pt idx="2">
                  <c:v>Processed and Refined Foods</c:v>
                </c:pt>
                <c:pt idx="3">
                  <c:v>Primary Agriculture</c:v>
                </c:pt>
                <c:pt idx="4">
                  <c:v>Electricity</c:v>
                </c:pt>
                <c:pt idx="5">
                  <c:v>Other</c:v>
                </c:pt>
              </c:strCache>
            </c:strRef>
          </c:cat>
          <c:val>
            <c:numRef>
              <c:f>'Sector Contribution'!$H$3:$H$8</c:f>
              <c:numCache>
                <c:formatCode>_(* #,##0_);_(* \(#,##0\);_(* "-"??_);_(@_)</c:formatCode>
                <c:ptCount val="6"/>
                <c:pt idx="0">
                  <c:v>988.23989933922905</c:v>
                </c:pt>
                <c:pt idx="1">
                  <c:v>840.50391092187328</c:v>
                </c:pt>
                <c:pt idx="2">
                  <c:v>547.60699663544165</c:v>
                </c:pt>
                <c:pt idx="3">
                  <c:v>443.02800869699854</c:v>
                </c:pt>
                <c:pt idx="4">
                  <c:v>331.68120833229483</c:v>
                </c:pt>
                <c:pt idx="5">
                  <c:v>1080</c:v>
                </c:pt>
              </c:numCache>
            </c:numRef>
          </c:val>
          <c:extLst>
            <c:ext xmlns:c16="http://schemas.microsoft.com/office/drawing/2014/chart" uri="{C3380CC4-5D6E-409C-BE32-E72D297353CC}">
              <c16:uniqueId val="{00000001-36F6-4CC2-AD58-20F6DA0D63FB}"/>
            </c:ext>
          </c:extLst>
        </c:ser>
        <c:dLbls>
          <c:dLblPos val="outEnd"/>
          <c:showLegendKey val="0"/>
          <c:showVal val="1"/>
          <c:showCatName val="0"/>
          <c:showSerName val="0"/>
          <c:showPercent val="0"/>
          <c:showBubbleSize val="0"/>
        </c:dLbls>
        <c:gapWidth val="219"/>
        <c:overlap val="-27"/>
        <c:axId val="599098184"/>
        <c:axId val="599099752"/>
      </c:barChart>
      <c:catAx>
        <c:axId val="599098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9099752"/>
        <c:crosses val="autoZero"/>
        <c:auto val="1"/>
        <c:lblAlgn val="ctr"/>
        <c:lblOffset val="100"/>
        <c:noMultiLvlLbl val="0"/>
      </c:catAx>
      <c:valAx>
        <c:axId val="59909975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Value</a:t>
                </a:r>
                <a:r>
                  <a:rPr lang="en-US" baseline="0"/>
                  <a:t> in USD'Million</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9098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'Top 5 NTE Markets'!$G$2</c:f>
              <c:strCache>
                <c:ptCount val="1"/>
                <c:pt idx="0">
                  <c:v>2022</c:v>
                </c:pt>
              </c:strCache>
            </c:strRef>
          </c:tx>
          <c:spPr>
            <a:solidFill>
              <a:srgbClr val="FF0000"/>
            </a:solidFill>
            <a:ln>
              <a:noFill/>
            </a:ln>
            <a:effectLst/>
          </c:spPr>
          <c:invertIfNegative val="0"/>
          <c:dLbls>
            <c:dLbl>
              <c:idx val="0"/>
              <c:layout>
                <c:manualLayout>
                  <c:x val="0"/>
                  <c:y val="-4.76899925179283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25E-472A-B00B-E9EDF5FEE9EC}"/>
                </c:ext>
              </c:extLst>
            </c:dLbl>
            <c:dLbl>
              <c:idx val="1"/>
              <c:layout>
                <c:manualLayout>
                  <c:x val="0"/>
                  <c:y val="-2.384499625896424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25E-472A-B00B-E9EDF5FEE9EC}"/>
                </c:ext>
              </c:extLst>
            </c:dLbl>
            <c:dLbl>
              <c:idx val="2"/>
              <c:layout>
                <c:manualLayout>
                  <c:x val="0"/>
                  <c:y val="-7.55091548200532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25E-472A-B00B-E9EDF5FEE9EC}"/>
                </c:ext>
              </c:extLst>
            </c:dLbl>
            <c:dLbl>
              <c:idx val="3"/>
              <c:layout>
                <c:manualLayout>
                  <c:x val="-7.0796460176991149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25E-472A-B00B-E9EDF5FEE9EC}"/>
                </c:ext>
              </c:extLst>
            </c:dLbl>
            <c:dLbl>
              <c:idx val="4"/>
              <c:layout>
                <c:manualLayout>
                  <c:x val="-7.0796460176992017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25E-472A-B00B-E9EDF5FEE9EC}"/>
                </c:ext>
              </c:extLst>
            </c:dLbl>
            <c:dLbl>
              <c:idx val="5"/>
              <c:layout>
                <c:manualLayout>
                  <c:x val="-2.5958702064896928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25E-472A-B00B-E9EDF5FEE9E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'Top 5 NTE Markets'!$F$3:$F$8</c:f>
              <c:strCache>
                <c:ptCount val="6"/>
                <c:pt idx="0">
                  <c:v>Congo DR</c:v>
                </c:pt>
                <c:pt idx="1">
                  <c:v>South Africa</c:v>
                </c:pt>
                <c:pt idx="2">
                  <c:v>Zimbabwe</c:v>
                </c:pt>
                <c:pt idx="3">
                  <c:v>China</c:v>
                </c:pt>
                <c:pt idx="4">
                  <c:v>Botswana</c:v>
                </c:pt>
                <c:pt idx="5">
                  <c:v>Other</c:v>
                </c:pt>
              </c:strCache>
            </c:strRef>
          </c:cat>
          <c:val>
            <c:numRef>
              <c:f>'Top 5 NTE Markets'!$G$3:$G$8</c:f>
              <c:numCache>
                <c:formatCode>_(* #,##0.00_);_(* \(#,##0.00\);_(* "-"??_);_(@_)</c:formatCode>
                <c:ptCount val="6"/>
                <c:pt idx="0">
                  <c:v>1599.2901450130682</c:v>
                </c:pt>
                <c:pt idx="1">
                  <c:v>257.13461625746476</c:v>
                </c:pt>
                <c:pt idx="2">
                  <c:v>263.32274336121071</c:v>
                </c:pt>
                <c:pt idx="3">
                  <c:v>78.230241884047544</c:v>
                </c:pt>
                <c:pt idx="4">
                  <c:v>57.02458163808668</c:v>
                </c:pt>
                <c:pt idx="5">
                  <c:v>1262.8900000000001</c:v>
                </c:pt>
              </c:numCache>
            </c:numRef>
          </c:val>
          <c:extLst>
            <c:ext xmlns:c16="http://schemas.microsoft.com/office/drawing/2014/chart" uri="{C3380CC4-5D6E-409C-BE32-E72D297353CC}">
              <c16:uniqueId val="{00000006-E25E-472A-B00B-E9EDF5FEE9EC}"/>
            </c:ext>
          </c:extLst>
        </c:ser>
        <c:ser>
          <c:idx val="1"/>
          <c:order val="1"/>
          <c:tx>
            <c:strRef>
              <c:f>'Top 5 NTE Markets'!$H$2</c:f>
              <c:strCache>
                <c:ptCount val="1"/>
                <c:pt idx="0">
                  <c:v>2023</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'Top 5 NTE Markets'!$F$3:$F$8</c:f>
              <c:strCache>
                <c:ptCount val="6"/>
                <c:pt idx="0">
                  <c:v>Congo DR</c:v>
                </c:pt>
                <c:pt idx="1">
                  <c:v>South Africa</c:v>
                </c:pt>
                <c:pt idx="2">
                  <c:v>Zimbabwe</c:v>
                </c:pt>
                <c:pt idx="3">
                  <c:v>China</c:v>
                </c:pt>
                <c:pt idx="4">
                  <c:v>Botswana</c:v>
                </c:pt>
                <c:pt idx="5">
                  <c:v>Other</c:v>
                </c:pt>
              </c:strCache>
            </c:strRef>
          </c:cat>
          <c:val>
            <c:numRef>
              <c:f>'Top 5 NTE Markets'!$H$3:$H$8</c:f>
              <c:numCache>
                <c:formatCode>_(* #,##0.00_);_(* \(#,##0.00\);_(* "-"??_);_(@_)</c:formatCode>
                <c:ptCount val="6"/>
                <c:pt idx="0">
                  <c:v>1549.4525043959557</c:v>
                </c:pt>
                <c:pt idx="1">
                  <c:v>549.93986075226928</c:v>
                </c:pt>
                <c:pt idx="2">
                  <c:v>255.65558555771889</c:v>
                </c:pt>
                <c:pt idx="3">
                  <c:v>171.95123675133976</c:v>
                </c:pt>
                <c:pt idx="4">
                  <c:v>151.87570959282084</c:v>
                </c:pt>
                <c:pt idx="5">
                  <c:v>1552.39</c:v>
                </c:pt>
              </c:numCache>
            </c:numRef>
          </c:val>
          <c:extLst>
            <c:ext xmlns:c16="http://schemas.microsoft.com/office/drawing/2014/chart" uri="{C3380CC4-5D6E-409C-BE32-E72D297353CC}">
              <c16:uniqueId val="{00000007-E25E-472A-B00B-E9EDF5FEE9EC}"/>
            </c:ext>
          </c:extLst>
        </c:ser>
        <c:dLbls>
          <c:dLblPos val="outEnd"/>
          <c:showLegendKey val="0"/>
          <c:showVal val="1"/>
          <c:showCatName val="0"/>
          <c:showSerName val="0"/>
          <c:showPercent val="0"/>
          <c:showBubbleSize val="0"/>
        </c:dLbls>
        <c:gapWidth val="219"/>
        <c:overlap val="-27"/>
        <c:axId val="599098576"/>
        <c:axId val="599094656"/>
      </c:barChart>
      <c:catAx>
        <c:axId val="599098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9094656"/>
        <c:crosses val="autoZero"/>
        <c:auto val="1"/>
        <c:lblAlgn val="ctr"/>
        <c:lblOffset val="100"/>
        <c:noMultiLvlLbl val="0"/>
      </c:catAx>
      <c:valAx>
        <c:axId val="599094656"/>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Value</a:t>
                </a:r>
                <a:r>
                  <a:rPr lang="en-US" baseline="0"/>
                  <a:t> in USD'Million</a:t>
                </a:r>
                <a:endParaRPr lang="en-US"/>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_(* #,##0_);_(* \(#,##0\);_(* &quot;-&quot;_);_(@_)"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9098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'Total Exports Pivot Blocs'!$H$12</c:f>
              <c:strCache>
                <c:ptCount val="1"/>
                <c:pt idx="0">
                  <c:v>2022</c:v>
                </c:pt>
              </c:strCache>
            </c:strRef>
          </c:tx>
          <c:spPr>
            <a:solidFill>
              <a:srgbClr val="00B050"/>
            </a:solidFill>
            <a:ln>
              <a:noFill/>
            </a:ln>
            <a:effectLst/>
          </c:spPr>
          <c:invertIfNegative val="0"/>
          <c:dLbls>
            <c:dLbl>
              <c:idx val="0"/>
              <c:layout>
                <c:manualLayout>
                  <c:x val="5.3392831662102825E-4"/>
                  <c:y val="-7.171671896010757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A26-4971-817B-6C1D248CCEA8}"/>
                </c:ext>
              </c:extLst>
            </c:dLbl>
            <c:dLbl>
              <c:idx val="1"/>
              <c:layout>
                <c:manualLayout>
                  <c:x val="-2.6359143327841887E-2"/>
                  <c:y val="5.018405644162252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A26-4971-817B-6C1D248CCEA8}"/>
                </c:ext>
              </c:extLst>
            </c:dLbl>
            <c:dLbl>
              <c:idx val="2"/>
              <c:layout>
                <c:manualLayout>
                  <c:x val="-1.3179571663920923E-2"/>
                  <c:y val="2.878550983457778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A26-4971-817B-6C1D248CCEA8}"/>
                </c:ext>
              </c:extLst>
            </c:dLbl>
            <c:dLbl>
              <c:idx val="3"/>
              <c:layout>
                <c:manualLayout>
                  <c:x val="-1.5376166941241077E-2"/>
                  <c:y val="9.165763737175166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A26-4971-817B-6C1D248CCEA8}"/>
                </c:ext>
              </c:extLst>
            </c:dLbl>
            <c:dLbl>
              <c:idx val="4"/>
              <c:layout>
                <c:manualLayout>
                  <c:x val="5.3392831662112897E-4"/>
                  <c:y val="-4.89124258391951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A26-4971-817B-6C1D248CCEA8}"/>
                </c:ext>
              </c:extLst>
            </c:dLbl>
            <c:dLbl>
              <c:idx val="5"/>
              <c:layout>
                <c:manualLayout>
                  <c:x val="-5.0954092023505304E-4"/>
                  <c:y val="-4.482294935006723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A26-4971-817B-6C1D248CCEA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'Total Exports Pivot Blocs'!$G$13:$G$18</c:f>
              <c:strCache>
                <c:ptCount val="6"/>
                <c:pt idx="0">
                  <c:v>COMESA/ SADC</c:v>
                </c:pt>
                <c:pt idx="1">
                  <c:v>SADC EXCL.</c:v>
                </c:pt>
                <c:pt idx="2">
                  <c:v>ASIA</c:v>
                </c:pt>
                <c:pt idx="3">
                  <c:v>OTHER</c:v>
                </c:pt>
                <c:pt idx="4">
                  <c:v>EU</c:v>
                </c:pt>
                <c:pt idx="5">
                  <c:v>COMESA EXCL.</c:v>
                </c:pt>
              </c:strCache>
            </c:strRef>
          </c:cat>
          <c:val>
            <c:numRef>
              <c:f>'Total Exports Pivot Blocs'!$H$13:$H$18</c:f>
              <c:numCache>
                <c:formatCode>_(* #,##0.00_);_(* \(#,##0.00\);_(* "-"??_);_(@_)</c:formatCode>
                <c:ptCount val="6"/>
                <c:pt idx="0">
                  <c:v>1991.3067041481686</c:v>
                </c:pt>
                <c:pt idx="1">
                  <c:v>674.09198018809434</c:v>
                </c:pt>
                <c:pt idx="2">
                  <c:v>181.97185414964932</c:v>
                </c:pt>
                <c:pt idx="3">
                  <c:v>320.57251124918366</c:v>
                </c:pt>
                <c:pt idx="4">
                  <c:v>190.32811394189804</c:v>
                </c:pt>
                <c:pt idx="5">
                  <c:v>159.62508613894605</c:v>
                </c:pt>
              </c:numCache>
            </c:numRef>
          </c:val>
          <c:extLst>
            <c:ext xmlns:c16="http://schemas.microsoft.com/office/drawing/2014/chart" uri="{C3380CC4-5D6E-409C-BE32-E72D297353CC}">
              <c16:uniqueId val="{00000006-4A26-4971-817B-6C1D248CCEA8}"/>
            </c:ext>
          </c:extLst>
        </c:ser>
        <c:ser>
          <c:idx val="1"/>
          <c:order val="1"/>
          <c:tx>
            <c:strRef>
              <c:f>'Total Exports Pivot Blocs'!$I$12</c:f>
              <c:strCache>
                <c:ptCount val="1"/>
                <c:pt idx="0">
                  <c:v>2023</c:v>
                </c:pt>
              </c:strCache>
            </c:strRef>
          </c:tx>
          <c:spPr>
            <a:solidFill>
              <a:srgbClr val="FF0000"/>
            </a:solidFill>
            <a:ln>
              <a:noFill/>
            </a:ln>
            <a:effectLst/>
          </c:spPr>
          <c:invertIfNegative val="0"/>
          <c:dLbls>
            <c:dLbl>
              <c:idx val="0"/>
              <c:layout>
                <c:manualLayout>
                  <c:x val="2.2813688212927757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A26-4971-817B-6C1D248CCEA8}"/>
                </c:ext>
              </c:extLst>
            </c:dLbl>
            <c:dLbl>
              <c:idx val="3"/>
              <c:layout>
                <c:manualLayout>
                  <c:x val="8.7863811092806152E-3"/>
                  <c:y val="8.96600161644958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A26-4971-817B-6C1D248CCEA8}"/>
                </c:ext>
              </c:extLst>
            </c:dLbl>
            <c:dLbl>
              <c:idx val="4"/>
              <c:layout>
                <c:manualLayout>
                  <c:x val="2.2813688212927664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A26-4971-817B-6C1D248CCEA8}"/>
                </c:ext>
              </c:extLst>
            </c:dLbl>
            <c:dLbl>
              <c:idx val="5"/>
              <c:layout>
                <c:manualLayout>
                  <c:x val="1.5209125475285171E-2"/>
                  <c:y val="-7.6031595870104195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A26-4971-817B-6C1D248CCEA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'Total Exports Pivot Blocs'!$G$13:$G$18</c:f>
              <c:strCache>
                <c:ptCount val="6"/>
                <c:pt idx="0">
                  <c:v>COMESA/ SADC</c:v>
                </c:pt>
                <c:pt idx="1">
                  <c:v>SADC EXCL.</c:v>
                </c:pt>
                <c:pt idx="2">
                  <c:v>ASIA</c:v>
                </c:pt>
                <c:pt idx="3">
                  <c:v>OTHER</c:v>
                </c:pt>
                <c:pt idx="4">
                  <c:v>EU</c:v>
                </c:pt>
                <c:pt idx="5">
                  <c:v>COMESA EXCL.</c:v>
                </c:pt>
              </c:strCache>
            </c:strRef>
          </c:cat>
          <c:val>
            <c:numRef>
              <c:f>'Total Exports Pivot Blocs'!$I$13:$I$18</c:f>
              <c:numCache>
                <c:formatCode>_(* #,##0.00_);_(* \(#,##0.00\);_(* "-"??_);_(@_)</c:formatCode>
                <c:ptCount val="6"/>
                <c:pt idx="0">
                  <c:v>1955.8089336502981</c:v>
                </c:pt>
                <c:pt idx="1">
                  <c:v>1048.7093318091481</c:v>
                </c:pt>
                <c:pt idx="2">
                  <c:v>506.22243461723673</c:v>
                </c:pt>
                <c:pt idx="3">
                  <c:v>446.04469383141236</c:v>
                </c:pt>
                <c:pt idx="4">
                  <c:v>155.53576689335478</c:v>
                </c:pt>
                <c:pt idx="5">
                  <c:v>118.94727973490087</c:v>
                </c:pt>
              </c:numCache>
            </c:numRef>
          </c:val>
          <c:extLst>
            <c:ext xmlns:c16="http://schemas.microsoft.com/office/drawing/2014/chart" uri="{C3380CC4-5D6E-409C-BE32-E72D297353CC}">
              <c16:uniqueId val="{0000000B-4A26-4971-817B-6C1D248CCEA8}"/>
            </c:ext>
          </c:extLst>
        </c:ser>
        <c:dLbls>
          <c:dLblPos val="outEnd"/>
          <c:showLegendKey val="0"/>
          <c:showVal val="1"/>
          <c:showCatName val="0"/>
          <c:showSerName val="0"/>
          <c:showPercent val="0"/>
          <c:showBubbleSize val="0"/>
        </c:dLbls>
        <c:gapWidth val="219"/>
        <c:overlap val="-27"/>
        <c:axId val="599098968"/>
        <c:axId val="599093872"/>
      </c:barChart>
      <c:catAx>
        <c:axId val="599098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9093872"/>
        <c:crosses val="autoZero"/>
        <c:auto val="1"/>
        <c:lblAlgn val="ctr"/>
        <c:lblOffset val="100"/>
        <c:noMultiLvlLbl val="0"/>
      </c:catAx>
      <c:valAx>
        <c:axId val="59909387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Value</a:t>
                </a:r>
                <a:r>
                  <a:rPr lang="en-US" baseline="0"/>
                  <a:t> in USD'Million</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_(* #,##0_);_(* \(#,##0\);_(* &quot;-&quot;_);_(@_)"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9098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2</TotalTime>
  <Pages>5</Pages>
  <Words>839</Words>
  <Characters>4788</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Obby Banda</dc:creator>
  <cp:keywords/>
  <dc:description/>
  <cp:lastModifiedBy>Kangwa Chakulya</cp:lastModifiedBy>
  <cp:revision>2</cp:revision>
  <dcterms:created xsi:type="dcterms:W3CDTF">2024-02-13T20:33:00Z</dcterms:created>
  <dcterms:modified xsi:type="dcterms:W3CDTF">2024-02-13T20:33:00Z</dcterms:modified>
</cp:coreProperties>
</file>